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F691" w14:textId="185B0CDA" w:rsidR="00386694" w:rsidRDefault="00386694" w:rsidP="00386694">
      <w:pPr>
        <w:jc w:val="right"/>
        <w:rPr>
          <w:rFonts w:cs="Arial"/>
          <w:b/>
          <w:bCs/>
          <w:sz w:val="20"/>
        </w:rPr>
      </w:pPr>
      <w:r>
        <w:rPr>
          <w:rFonts w:cs="Arial"/>
          <w:b/>
          <w:bCs/>
          <w:sz w:val="20"/>
        </w:rPr>
        <w:t>Appendix 4</w:t>
      </w:r>
    </w:p>
    <w:p w14:paraId="5AA22971" w14:textId="77777777" w:rsidR="00386694" w:rsidRDefault="00386694" w:rsidP="00436661">
      <w:pPr>
        <w:jc w:val="center"/>
        <w:rPr>
          <w:rFonts w:cs="Arial"/>
          <w:b/>
          <w:bCs/>
          <w:sz w:val="20"/>
        </w:rPr>
      </w:pPr>
    </w:p>
    <w:p w14:paraId="231EABA9" w14:textId="70CBEF24" w:rsidR="00633598" w:rsidRPr="00436661" w:rsidRDefault="00F9280D" w:rsidP="00436661">
      <w:pPr>
        <w:jc w:val="center"/>
        <w:rPr>
          <w:rFonts w:cs="Arial"/>
          <w:b/>
          <w:sz w:val="20"/>
        </w:rPr>
      </w:pPr>
      <w:r w:rsidRPr="00436661">
        <w:rPr>
          <w:rFonts w:cs="Arial"/>
          <w:b/>
          <w:bCs/>
          <w:sz w:val="20"/>
        </w:rPr>
        <w:t>TH</w:t>
      </w:r>
      <w:r w:rsidR="003E3F19">
        <w:rPr>
          <w:rFonts w:cs="Arial"/>
          <w:b/>
          <w:bCs/>
          <w:sz w:val="20"/>
        </w:rPr>
        <w:t xml:space="preserve">E HOUSING ESTATES </w:t>
      </w:r>
      <w:r w:rsidR="00606AEE">
        <w:rPr>
          <w:rFonts w:cs="Arial"/>
          <w:b/>
          <w:bCs/>
          <w:sz w:val="20"/>
        </w:rPr>
        <w:t xml:space="preserve">AND HOUSING LAND, </w:t>
      </w:r>
      <w:r w:rsidRPr="00436661">
        <w:rPr>
          <w:rFonts w:cs="Arial"/>
          <w:b/>
          <w:bCs/>
          <w:sz w:val="20"/>
        </w:rPr>
        <w:t xml:space="preserve">LONDON BOROUGH OF </w:t>
      </w:r>
      <w:r w:rsidR="00C3796E" w:rsidRPr="00436661">
        <w:rPr>
          <w:rFonts w:cs="Arial"/>
          <w:b/>
          <w:sz w:val="20"/>
        </w:rPr>
        <w:t>HARROW</w:t>
      </w:r>
    </w:p>
    <w:p w14:paraId="46EE0767" w14:textId="011EDF00" w:rsidR="00F9280D" w:rsidRPr="00436661" w:rsidRDefault="00F9280D" w:rsidP="00436661">
      <w:pPr>
        <w:jc w:val="center"/>
        <w:rPr>
          <w:rFonts w:cs="Arial"/>
          <w:b/>
          <w:bCs/>
          <w:sz w:val="20"/>
        </w:rPr>
      </w:pPr>
      <w:r w:rsidRPr="00436661">
        <w:rPr>
          <w:rFonts w:cs="Arial"/>
          <w:b/>
          <w:bCs/>
          <w:sz w:val="20"/>
        </w:rPr>
        <w:t>PUBLIC SPACES PROTECTION ORDER</w:t>
      </w:r>
      <w:r w:rsidR="005276DC">
        <w:rPr>
          <w:rFonts w:cs="Arial"/>
          <w:b/>
          <w:bCs/>
          <w:sz w:val="20"/>
        </w:rPr>
        <w:t xml:space="preserve"> 2023</w:t>
      </w:r>
    </w:p>
    <w:p w14:paraId="2F550973" w14:textId="77777777" w:rsidR="00F9280D" w:rsidRPr="00436661" w:rsidRDefault="00F9280D" w:rsidP="00436661">
      <w:pPr>
        <w:jc w:val="both"/>
        <w:rPr>
          <w:rFonts w:cs="Arial"/>
          <w:b/>
          <w:sz w:val="20"/>
        </w:rPr>
      </w:pPr>
    </w:p>
    <w:p w14:paraId="1359450B" w14:textId="48A46CD1" w:rsidR="000426B2" w:rsidRPr="00436661" w:rsidRDefault="00F9280D" w:rsidP="00436661">
      <w:pPr>
        <w:rPr>
          <w:rFonts w:cs="Arial"/>
          <w:b/>
          <w:sz w:val="20"/>
        </w:rPr>
      </w:pPr>
      <w:r w:rsidRPr="00436661">
        <w:rPr>
          <w:rFonts w:cs="Arial"/>
          <w:b/>
          <w:sz w:val="20"/>
        </w:rPr>
        <w:t xml:space="preserve">This Order relates to </w:t>
      </w:r>
      <w:r w:rsidR="00A04A9B">
        <w:rPr>
          <w:rFonts w:cs="Arial"/>
          <w:b/>
          <w:sz w:val="20"/>
        </w:rPr>
        <w:t xml:space="preserve">Housing </w:t>
      </w:r>
      <w:r w:rsidR="007858CF">
        <w:rPr>
          <w:rFonts w:cs="Arial"/>
          <w:b/>
          <w:sz w:val="20"/>
        </w:rPr>
        <w:t xml:space="preserve">Estates and </w:t>
      </w:r>
      <w:r w:rsidR="00606AEE">
        <w:rPr>
          <w:rFonts w:cs="Arial"/>
          <w:b/>
          <w:sz w:val="20"/>
        </w:rPr>
        <w:t xml:space="preserve">Housing </w:t>
      </w:r>
      <w:r w:rsidR="00A04A9B">
        <w:rPr>
          <w:rFonts w:cs="Arial"/>
          <w:b/>
          <w:sz w:val="20"/>
        </w:rPr>
        <w:t>Land</w:t>
      </w:r>
      <w:r w:rsidRPr="00436661">
        <w:rPr>
          <w:rFonts w:cs="Arial"/>
          <w:b/>
          <w:sz w:val="20"/>
        </w:rPr>
        <w:t xml:space="preserve"> </w:t>
      </w:r>
      <w:r w:rsidR="00A04A9B">
        <w:rPr>
          <w:rFonts w:cs="Arial"/>
          <w:b/>
          <w:sz w:val="20"/>
        </w:rPr>
        <w:t xml:space="preserve">in </w:t>
      </w:r>
      <w:r w:rsidRPr="00436661">
        <w:rPr>
          <w:rFonts w:cs="Arial"/>
          <w:b/>
          <w:sz w:val="20"/>
        </w:rPr>
        <w:t xml:space="preserve">the London Borough of Harrow, as shown </w:t>
      </w:r>
      <w:r w:rsidR="007858CF">
        <w:rPr>
          <w:rFonts w:cs="Arial"/>
          <w:b/>
          <w:sz w:val="20"/>
        </w:rPr>
        <w:t>highlighted</w:t>
      </w:r>
      <w:r w:rsidRPr="00436661">
        <w:rPr>
          <w:rFonts w:cs="Arial"/>
          <w:b/>
          <w:sz w:val="20"/>
        </w:rPr>
        <w:t xml:space="preserve"> on the attached </w:t>
      </w:r>
      <w:r w:rsidR="00A825E2" w:rsidRPr="00436661">
        <w:rPr>
          <w:rFonts w:cs="Arial"/>
          <w:b/>
          <w:sz w:val="20"/>
        </w:rPr>
        <w:t>plan.</w:t>
      </w:r>
    </w:p>
    <w:p w14:paraId="62BA6407" w14:textId="42E34DFC" w:rsidR="000426B2" w:rsidRPr="00436661" w:rsidRDefault="000426B2" w:rsidP="00436661">
      <w:pPr>
        <w:jc w:val="both"/>
        <w:rPr>
          <w:rFonts w:cs="Arial"/>
          <w:b/>
          <w:sz w:val="20"/>
        </w:rPr>
      </w:pPr>
    </w:p>
    <w:p w14:paraId="63E8AE8C" w14:textId="57E9C94F" w:rsidR="00E733E5" w:rsidRPr="00436661" w:rsidRDefault="00AE13F2" w:rsidP="00436661">
      <w:pPr>
        <w:jc w:val="both"/>
        <w:rPr>
          <w:rFonts w:cs="Arial"/>
          <w:b/>
          <w:sz w:val="20"/>
        </w:rPr>
      </w:pPr>
      <w:r>
        <w:rPr>
          <w:rFonts w:cs="Arial"/>
          <w:bCs/>
          <w:sz w:val="20"/>
        </w:rPr>
        <w:t>1</w:t>
      </w:r>
      <w:r w:rsidR="00E733E5" w:rsidRPr="00436661">
        <w:rPr>
          <w:rFonts w:cs="Arial"/>
          <w:b/>
          <w:sz w:val="20"/>
        </w:rPr>
        <w:t xml:space="preserve">. </w:t>
      </w:r>
      <w:r w:rsidR="00E733E5" w:rsidRPr="003C06A7">
        <w:rPr>
          <w:rFonts w:cs="Arial"/>
          <w:bCs/>
          <w:sz w:val="20"/>
        </w:rPr>
        <w:t>In this Order:</w:t>
      </w:r>
    </w:p>
    <w:p w14:paraId="0A82713D" w14:textId="77777777" w:rsidR="00B45714" w:rsidRPr="00436661" w:rsidRDefault="00B45714" w:rsidP="00652611">
      <w:pPr>
        <w:jc w:val="both"/>
        <w:rPr>
          <w:rFonts w:cs="Arial"/>
          <w:sz w:val="20"/>
        </w:rPr>
      </w:pPr>
    </w:p>
    <w:p w14:paraId="18317967" w14:textId="77777777" w:rsidR="00A825E2" w:rsidRPr="00436661" w:rsidRDefault="00A825E2" w:rsidP="00A825E2">
      <w:pPr>
        <w:ind w:left="720"/>
        <w:jc w:val="both"/>
        <w:rPr>
          <w:rFonts w:cs="Arial"/>
          <w:bCs/>
          <w:sz w:val="20"/>
        </w:rPr>
      </w:pPr>
      <w:r w:rsidRPr="00436661">
        <w:rPr>
          <w:rFonts w:cs="Arial"/>
          <w:b/>
          <w:sz w:val="20"/>
        </w:rPr>
        <w:t>‘Anti-Social Behaviour’</w:t>
      </w:r>
      <w:r w:rsidRPr="00436661">
        <w:rPr>
          <w:rFonts w:cs="Arial"/>
          <w:bCs/>
          <w:sz w:val="20"/>
        </w:rPr>
        <w:t xml:space="preserve"> refers to section 59 (2) (a)-(b) of the Anti-Social Behaviour, Crime and Policing Act 2014 and means: activities carried out, or which are likely to be carried out, in a public space which have a detrimental effect on the quality of life those in the locality. This also means behaviour likely to cause harassment, </w:t>
      </w:r>
      <w:proofErr w:type="gramStart"/>
      <w:r w:rsidRPr="00436661">
        <w:rPr>
          <w:rFonts w:cs="Arial"/>
          <w:bCs/>
          <w:sz w:val="20"/>
        </w:rPr>
        <w:t>distress</w:t>
      </w:r>
      <w:proofErr w:type="gramEnd"/>
      <w:r w:rsidRPr="00436661">
        <w:rPr>
          <w:rFonts w:cs="Arial"/>
          <w:bCs/>
          <w:sz w:val="20"/>
        </w:rPr>
        <w:t xml:space="preserve"> or alarm to one or more other person. This can include, but is not limited to, littering, verbal abuse, obstructing the highway, illegal drug use, urinating or, </w:t>
      </w:r>
      <w:proofErr w:type="gramStart"/>
      <w:r w:rsidRPr="00436661">
        <w:rPr>
          <w:rFonts w:cs="Arial"/>
          <w:bCs/>
          <w:sz w:val="20"/>
        </w:rPr>
        <w:t>spitting</w:t>
      </w:r>
      <w:proofErr w:type="gramEnd"/>
    </w:p>
    <w:p w14:paraId="6875F4B9" w14:textId="77777777" w:rsidR="00A825E2" w:rsidRDefault="00A825E2" w:rsidP="00436661">
      <w:pPr>
        <w:ind w:left="720"/>
        <w:jc w:val="both"/>
        <w:rPr>
          <w:rFonts w:cs="Arial"/>
          <w:sz w:val="20"/>
        </w:rPr>
      </w:pPr>
    </w:p>
    <w:p w14:paraId="3D16A888" w14:textId="00AE154E" w:rsidR="00B45714" w:rsidRPr="00436661" w:rsidRDefault="00347666" w:rsidP="00436661">
      <w:pPr>
        <w:ind w:left="720"/>
        <w:jc w:val="both"/>
        <w:rPr>
          <w:rFonts w:cs="Arial"/>
          <w:sz w:val="20"/>
        </w:rPr>
      </w:pPr>
      <w:r w:rsidRPr="00436661">
        <w:rPr>
          <w:rFonts w:cs="Arial"/>
          <w:sz w:val="20"/>
        </w:rPr>
        <w:t>‘</w:t>
      </w:r>
      <w:r w:rsidR="00B45714" w:rsidRPr="00436661">
        <w:rPr>
          <w:rFonts w:cs="Arial"/>
          <w:b/>
          <w:bCs/>
          <w:sz w:val="20"/>
        </w:rPr>
        <w:t>The designated area</w:t>
      </w:r>
      <w:r w:rsidRPr="00436661">
        <w:rPr>
          <w:rFonts w:cs="Arial"/>
          <w:sz w:val="20"/>
        </w:rPr>
        <w:t>’</w:t>
      </w:r>
      <w:r w:rsidR="00B45714" w:rsidRPr="00436661">
        <w:rPr>
          <w:rFonts w:cs="Arial"/>
          <w:sz w:val="20"/>
        </w:rPr>
        <w:t xml:space="preserve"> refers to any public space to which the public or a part of the public has access (S 74(1) of the Anti-Social Behaviour, Crime and Policing Act 2014). This can be with payment, or with express or implied permission. This can include businesses and communal areas of housing </w:t>
      </w:r>
      <w:r w:rsidR="00AA4466" w:rsidRPr="00436661">
        <w:rPr>
          <w:rFonts w:cs="Arial"/>
          <w:sz w:val="20"/>
        </w:rPr>
        <w:t>blocks but</w:t>
      </w:r>
      <w:r w:rsidR="00B45714" w:rsidRPr="00436661">
        <w:rPr>
          <w:rFonts w:cs="Arial"/>
          <w:sz w:val="20"/>
        </w:rPr>
        <w:t xml:space="preserve"> excludes residential premises</w:t>
      </w:r>
      <w:r w:rsidR="00B45714" w:rsidRPr="00652611">
        <w:rPr>
          <w:rFonts w:cs="Arial"/>
          <w:sz w:val="20"/>
        </w:rPr>
        <w:t>.</w:t>
      </w:r>
    </w:p>
    <w:p w14:paraId="27799C8A" w14:textId="7F7715B2" w:rsidR="006545E3" w:rsidRPr="00436661" w:rsidRDefault="006545E3" w:rsidP="00436661">
      <w:pPr>
        <w:ind w:left="720"/>
        <w:jc w:val="both"/>
        <w:rPr>
          <w:rFonts w:cs="Arial"/>
          <w:sz w:val="20"/>
        </w:rPr>
      </w:pPr>
    </w:p>
    <w:p w14:paraId="1D7FC090" w14:textId="24FAD116" w:rsidR="00496FAB" w:rsidRPr="00436661" w:rsidRDefault="00496FAB" w:rsidP="00436661">
      <w:pPr>
        <w:ind w:left="720"/>
        <w:jc w:val="both"/>
        <w:rPr>
          <w:rFonts w:cs="Arial"/>
          <w:sz w:val="20"/>
        </w:rPr>
      </w:pPr>
      <w:r w:rsidRPr="00436661">
        <w:rPr>
          <w:rFonts w:cs="Arial"/>
          <w:b/>
          <w:bCs/>
          <w:sz w:val="20"/>
        </w:rPr>
        <w:t>‘Authorised officer</w:t>
      </w:r>
      <w:r w:rsidRPr="00436661">
        <w:rPr>
          <w:rFonts w:cs="Arial"/>
          <w:sz w:val="20"/>
        </w:rPr>
        <w:t xml:space="preserve">’ refers to: police officer, police community support officer, or any other person designated to enforce the Order by </w:t>
      </w:r>
      <w:r w:rsidR="004C3903">
        <w:rPr>
          <w:rFonts w:cs="Arial"/>
          <w:sz w:val="20"/>
        </w:rPr>
        <w:t>London Borough of Harrow</w:t>
      </w:r>
      <w:r w:rsidRPr="00436661">
        <w:rPr>
          <w:rFonts w:cs="Arial"/>
          <w:sz w:val="20"/>
        </w:rPr>
        <w:t>. You can require any authorised officers to produce authorisation before enforcing the Order.</w:t>
      </w:r>
    </w:p>
    <w:p w14:paraId="16885D61" w14:textId="1FD6749C" w:rsidR="006545E3" w:rsidRPr="00436661" w:rsidRDefault="006545E3" w:rsidP="00436661">
      <w:pPr>
        <w:ind w:left="720"/>
        <w:jc w:val="both"/>
        <w:rPr>
          <w:rFonts w:cs="Arial"/>
          <w:sz w:val="20"/>
        </w:rPr>
      </w:pPr>
    </w:p>
    <w:p w14:paraId="2C29BD7F" w14:textId="77777777" w:rsidR="000F14BD" w:rsidRPr="00436661" w:rsidRDefault="000F14BD" w:rsidP="00436661">
      <w:pPr>
        <w:jc w:val="both"/>
        <w:rPr>
          <w:rFonts w:cs="Arial"/>
          <w:sz w:val="20"/>
        </w:rPr>
      </w:pPr>
    </w:p>
    <w:p w14:paraId="01443947" w14:textId="2C822EF3" w:rsidR="00496FAB" w:rsidRPr="00436661" w:rsidRDefault="00436661" w:rsidP="00763749">
      <w:pPr>
        <w:ind w:left="284" w:hanging="284"/>
        <w:jc w:val="both"/>
        <w:rPr>
          <w:rFonts w:cs="Arial"/>
          <w:sz w:val="20"/>
        </w:rPr>
      </w:pPr>
      <w:r w:rsidRPr="00436661">
        <w:rPr>
          <w:rFonts w:cs="Arial"/>
          <w:sz w:val="20"/>
        </w:rPr>
        <w:t>2.</w:t>
      </w:r>
      <w:r w:rsidR="008A726A" w:rsidRPr="00436661">
        <w:rPr>
          <w:rFonts w:cs="Arial"/>
          <w:sz w:val="20"/>
        </w:rPr>
        <w:t xml:space="preserve"> </w:t>
      </w:r>
      <w:r w:rsidR="008D3CE1">
        <w:rPr>
          <w:rFonts w:cs="Arial"/>
          <w:sz w:val="20"/>
        </w:rPr>
        <w:tab/>
      </w:r>
      <w:r w:rsidR="008A726A" w:rsidRPr="00436661">
        <w:rPr>
          <w:rFonts w:cs="Arial"/>
          <w:sz w:val="20"/>
        </w:rPr>
        <w:t xml:space="preserve">The London Borough of </w:t>
      </w:r>
      <w:r w:rsidR="008B2F46" w:rsidRPr="00436661">
        <w:rPr>
          <w:rFonts w:cs="Arial"/>
          <w:sz w:val="20"/>
        </w:rPr>
        <w:t>Harrow</w:t>
      </w:r>
      <w:r w:rsidR="008A726A" w:rsidRPr="00436661">
        <w:rPr>
          <w:rFonts w:cs="Arial"/>
          <w:sz w:val="20"/>
        </w:rPr>
        <w:t xml:space="preserve">, in accordance with Section 59 (7)(a) of the Anti-Social Behaviour, Crime and Policing 2014, identifies the following activities in the designated areas, highlighted in section </w:t>
      </w:r>
      <w:r>
        <w:rPr>
          <w:rFonts w:cs="Arial"/>
          <w:sz w:val="20"/>
        </w:rPr>
        <w:t>3</w:t>
      </w:r>
      <w:r w:rsidR="008A726A" w:rsidRPr="00436661">
        <w:rPr>
          <w:rFonts w:cs="Arial"/>
          <w:sz w:val="20"/>
        </w:rPr>
        <w:t xml:space="preserve"> to </w:t>
      </w:r>
      <w:r w:rsidR="005E5B10">
        <w:rPr>
          <w:rFonts w:cs="Arial"/>
          <w:sz w:val="20"/>
        </w:rPr>
        <w:t>12</w:t>
      </w:r>
      <w:r w:rsidR="00763749">
        <w:rPr>
          <w:rFonts w:cs="Arial"/>
          <w:sz w:val="20"/>
        </w:rPr>
        <w:t xml:space="preserve"> </w:t>
      </w:r>
      <w:r w:rsidR="008A726A" w:rsidRPr="00436661">
        <w:rPr>
          <w:rFonts w:cs="Arial"/>
          <w:sz w:val="20"/>
        </w:rPr>
        <w:t>of this Order, as having had a detrimental impact on the quality of life of those in the locality, or it is likely that they will have such an effect</w:t>
      </w:r>
      <w:r w:rsidR="00A825E2">
        <w:rPr>
          <w:rFonts w:cs="Arial"/>
          <w:sz w:val="20"/>
        </w:rPr>
        <w:t>.</w:t>
      </w:r>
    </w:p>
    <w:p w14:paraId="4939E3E0" w14:textId="77777777" w:rsidR="002C23E6" w:rsidRPr="00436661" w:rsidRDefault="002C23E6" w:rsidP="00436661">
      <w:pPr>
        <w:jc w:val="both"/>
        <w:rPr>
          <w:rFonts w:cs="Arial"/>
          <w:sz w:val="20"/>
        </w:rPr>
      </w:pPr>
    </w:p>
    <w:p w14:paraId="5BB6480D" w14:textId="0B6FB9FE" w:rsidR="00EB1A4D" w:rsidRPr="00763749" w:rsidRDefault="001D019A" w:rsidP="008D3CE1">
      <w:pPr>
        <w:ind w:left="426" w:hanging="426"/>
        <w:jc w:val="both"/>
        <w:rPr>
          <w:rFonts w:cs="Arial"/>
          <w:sz w:val="20"/>
        </w:rPr>
      </w:pPr>
      <w:r>
        <w:rPr>
          <w:rFonts w:cs="Arial"/>
          <w:sz w:val="20"/>
        </w:rPr>
        <w:t>3</w:t>
      </w:r>
      <w:r w:rsidR="00EB1A4D" w:rsidRPr="00436661">
        <w:rPr>
          <w:rFonts w:cs="Arial"/>
          <w:sz w:val="20"/>
        </w:rPr>
        <w:t>.</w:t>
      </w:r>
      <w:r w:rsidR="00EB1A4D" w:rsidRPr="00763749">
        <w:rPr>
          <w:rFonts w:cs="Arial"/>
          <w:sz w:val="20"/>
        </w:rPr>
        <w:t xml:space="preserve"> </w:t>
      </w:r>
      <w:r w:rsidR="00EB1A4D" w:rsidRPr="00763749">
        <w:rPr>
          <w:rFonts w:cs="Arial"/>
          <w:b/>
          <w:bCs/>
          <w:sz w:val="20"/>
        </w:rPr>
        <w:t xml:space="preserve">Housing Estates </w:t>
      </w:r>
      <w:r w:rsidR="00606AEE">
        <w:rPr>
          <w:rFonts w:cs="Arial"/>
          <w:b/>
          <w:bCs/>
          <w:sz w:val="20"/>
        </w:rPr>
        <w:t>and Housing Land</w:t>
      </w:r>
      <w:r w:rsidR="00FB6320">
        <w:rPr>
          <w:rFonts w:cs="Arial"/>
          <w:b/>
          <w:bCs/>
          <w:sz w:val="20"/>
        </w:rPr>
        <w:t xml:space="preserve"> </w:t>
      </w:r>
      <w:r w:rsidR="00EB1A4D" w:rsidRPr="00763749">
        <w:rPr>
          <w:rFonts w:cs="Arial"/>
          <w:b/>
          <w:bCs/>
          <w:sz w:val="20"/>
        </w:rPr>
        <w:t xml:space="preserve">as shown highlighted on the attached plan in Appendix </w:t>
      </w:r>
      <w:r w:rsidR="00763749" w:rsidRPr="00763749">
        <w:rPr>
          <w:rFonts w:cs="Arial"/>
          <w:b/>
          <w:bCs/>
          <w:sz w:val="20"/>
        </w:rPr>
        <w:t>1</w:t>
      </w:r>
      <w:r w:rsidR="00EB1A4D" w:rsidRPr="00763749">
        <w:rPr>
          <w:rFonts w:cs="Arial"/>
          <w:b/>
          <w:bCs/>
          <w:sz w:val="20"/>
        </w:rPr>
        <w:t xml:space="preserve"> (‘the designated area’):</w:t>
      </w:r>
    </w:p>
    <w:p w14:paraId="64FA6553" w14:textId="13B15604" w:rsidR="00C81794" w:rsidRPr="00BC30AB" w:rsidRDefault="001E21BA" w:rsidP="003F2EA3">
      <w:pPr>
        <w:pStyle w:val="ListParagraph"/>
        <w:numPr>
          <w:ilvl w:val="0"/>
          <w:numId w:val="13"/>
        </w:numPr>
        <w:rPr>
          <w:rFonts w:cs="Arial"/>
          <w:sz w:val="20"/>
        </w:rPr>
      </w:pPr>
      <w:r>
        <w:rPr>
          <w:rFonts w:cs="Arial"/>
          <w:sz w:val="20"/>
        </w:rPr>
        <w:t xml:space="preserve">Disperse from an area when </w:t>
      </w:r>
      <w:proofErr w:type="gramStart"/>
      <w:r>
        <w:rPr>
          <w:rFonts w:cs="Arial"/>
          <w:sz w:val="20"/>
        </w:rPr>
        <w:t>asked</w:t>
      </w:r>
      <w:proofErr w:type="gramEnd"/>
    </w:p>
    <w:p w14:paraId="0D8BE5DF" w14:textId="77777777" w:rsidR="00BC30AB" w:rsidRPr="00BC30AB" w:rsidRDefault="002C23E6" w:rsidP="003F2EA3">
      <w:pPr>
        <w:pStyle w:val="ListParagraph"/>
        <w:numPr>
          <w:ilvl w:val="0"/>
          <w:numId w:val="13"/>
        </w:numPr>
        <w:rPr>
          <w:rFonts w:cs="Arial"/>
          <w:sz w:val="20"/>
        </w:rPr>
      </w:pPr>
      <w:r w:rsidRPr="00BC30AB">
        <w:rPr>
          <w:rFonts w:cs="Arial"/>
          <w:sz w:val="20"/>
        </w:rPr>
        <w:t xml:space="preserve">Causing an obstruction which prevents or hinders the free passage of pedestrians or </w:t>
      </w:r>
      <w:proofErr w:type="gramStart"/>
      <w:r w:rsidRPr="00BC30AB">
        <w:rPr>
          <w:rFonts w:cs="Arial"/>
          <w:sz w:val="20"/>
        </w:rPr>
        <w:t>vehicles</w:t>
      </w:r>
      <w:proofErr w:type="gramEnd"/>
    </w:p>
    <w:p w14:paraId="3E956574" w14:textId="12859D3E" w:rsidR="00BC30AB" w:rsidRPr="00BC30AB" w:rsidRDefault="00500EC7" w:rsidP="003F2EA3">
      <w:pPr>
        <w:pStyle w:val="ListParagraph"/>
        <w:numPr>
          <w:ilvl w:val="0"/>
          <w:numId w:val="13"/>
        </w:numPr>
      </w:pPr>
      <w:r>
        <w:rPr>
          <w:rFonts w:cs="Arial"/>
          <w:sz w:val="20"/>
        </w:rPr>
        <w:t>Leaving waste outside the bins</w:t>
      </w:r>
    </w:p>
    <w:p w14:paraId="73D27CF9" w14:textId="04C1187D" w:rsidR="00F72273" w:rsidRDefault="00A825E2" w:rsidP="005815C4">
      <w:pPr>
        <w:pStyle w:val="ListParagraph"/>
        <w:numPr>
          <w:ilvl w:val="0"/>
          <w:numId w:val="13"/>
        </w:numPr>
        <w:rPr>
          <w:rFonts w:cs="Arial"/>
          <w:sz w:val="20"/>
        </w:rPr>
      </w:pPr>
      <w:r w:rsidRPr="00A825E2">
        <w:rPr>
          <w:rFonts w:cs="Arial"/>
          <w:sz w:val="20"/>
        </w:rPr>
        <w:t xml:space="preserve">Leaving food exposed </w:t>
      </w:r>
      <w:r w:rsidR="00F72273">
        <w:rPr>
          <w:rFonts w:cs="Arial"/>
          <w:sz w:val="20"/>
        </w:rPr>
        <w:t xml:space="preserve">for wildlife and </w:t>
      </w:r>
      <w:r w:rsidRPr="00A825E2">
        <w:rPr>
          <w:rFonts w:cs="Arial"/>
          <w:sz w:val="20"/>
        </w:rPr>
        <w:t xml:space="preserve">attracting </w:t>
      </w:r>
      <w:proofErr w:type="gramStart"/>
      <w:r w:rsidRPr="00A825E2">
        <w:rPr>
          <w:rFonts w:cs="Arial"/>
          <w:sz w:val="20"/>
        </w:rPr>
        <w:t>vermin</w:t>
      </w:r>
      <w:proofErr w:type="gramEnd"/>
      <w:r w:rsidRPr="00A825E2">
        <w:rPr>
          <w:rFonts w:cs="Arial"/>
          <w:sz w:val="20"/>
        </w:rPr>
        <w:t xml:space="preserve"> </w:t>
      </w:r>
    </w:p>
    <w:p w14:paraId="4CEEBECC" w14:textId="77777777" w:rsidR="00F72273" w:rsidRPr="00F72273" w:rsidRDefault="00F72273" w:rsidP="00F72273">
      <w:pPr>
        <w:rPr>
          <w:rFonts w:cs="Arial"/>
          <w:sz w:val="20"/>
        </w:rPr>
      </w:pPr>
    </w:p>
    <w:p w14:paraId="6F73E52E" w14:textId="6D1154CA" w:rsidR="00DB6C26" w:rsidRPr="00F72273" w:rsidRDefault="00DB6C26" w:rsidP="00F72273">
      <w:pPr>
        <w:rPr>
          <w:rFonts w:cs="Arial"/>
          <w:sz w:val="20"/>
        </w:rPr>
      </w:pPr>
      <w:r w:rsidRPr="00F72273">
        <w:rPr>
          <w:rFonts w:cs="Arial"/>
          <w:sz w:val="20"/>
        </w:rPr>
        <w:t>Due to the volume of reports of these activities and behaviours, the Council is satisfied that the effect, or likely effect, of the activities is, or is likely to be, of a persistent or continuing nature and these activities are unreasonable and justify the restrictions imposed by the notice and that it is in all the circumstances expedient to make this Order for the purpose of reducing anti-social behaviour in a public place.</w:t>
      </w:r>
    </w:p>
    <w:p w14:paraId="3C3DFEC1" w14:textId="77777777" w:rsidR="00DB6C26" w:rsidRPr="00DB6C26" w:rsidRDefault="00DB6C26" w:rsidP="00DB6C26">
      <w:pPr>
        <w:rPr>
          <w:rFonts w:cs="Arial"/>
          <w:sz w:val="20"/>
        </w:rPr>
      </w:pPr>
    </w:p>
    <w:p w14:paraId="31630669" w14:textId="77777777" w:rsidR="00DB6C26" w:rsidRPr="00DB6C26" w:rsidRDefault="00DB6C26" w:rsidP="00DB6C26">
      <w:pPr>
        <w:rPr>
          <w:rFonts w:cs="Arial"/>
          <w:sz w:val="20"/>
        </w:rPr>
      </w:pPr>
      <w:r w:rsidRPr="00DB6C26">
        <w:rPr>
          <w:rFonts w:cs="Arial"/>
          <w:sz w:val="20"/>
        </w:rPr>
        <w:t>The London Borough of Harrow, being thereby satisfied that the conditions in Section 59 of the Act have been met, hereby makes the following Order:</w:t>
      </w:r>
    </w:p>
    <w:p w14:paraId="4BF2C03C" w14:textId="77777777" w:rsidR="00DB6C26" w:rsidRPr="00BC30AB" w:rsidRDefault="00DB6C26" w:rsidP="00DB6C26"/>
    <w:p w14:paraId="5F52AC78" w14:textId="3938089A" w:rsidR="002C23E6" w:rsidRDefault="002C23E6" w:rsidP="00BC30AB">
      <w:pPr>
        <w:pStyle w:val="ListParagraph"/>
      </w:pPr>
    </w:p>
    <w:p w14:paraId="37AC3588" w14:textId="71B27BD9" w:rsidR="00EB1A4D" w:rsidRPr="00F72273" w:rsidRDefault="00EE7DE2" w:rsidP="00436661">
      <w:pPr>
        <w:jc w:val="both"/>
        <w:rPr>
          <w:rFonts w:cs="Arial"/>
          <w:b/>
          <w:bCs/>
          <w:sz w:val="20"/>
        </w:rPr>
      </w:pPr>
      <w:r w:rsidRPr="00EE7DE2">
        <w:rPr>
          <w:rFonts w:cs="Arial"/>
          <w:sz w:val="20"/>
        </w:rPr>
        <w:t>4</w:t>
      </w:r>
      <w:r w:rsidR="008D3CE1" w:rsidRPr="00EE7DE2">
        <w:rPr>
          <w:rFonts w:cs="Arial"/>
          <w:sz w:val="20"/>
        </w:rPr>
        <w:t>.</w:t>
      </w:r>
      <w:r w:rsidR="008D3CE1" w:rsidRPr="00F72273">
        <w:rPr>
          <w:rFonts w:cs="Arial"/>
          <w:b/>
          <w:bCs/>
          <w:sz w:val="20"/>
        </w:rPr>
        <w:t xml:space="preserve"> </w:t>
      </w:r>
      <w:r w:rsidR="00EB1A4D" w:rsidRPr="00F72273">
        <w:rPr>
          <w:rFonts w:cs="Arial"/>
          <w:b/>
          <w:bCs/>
          <w:sz w:val="20"/>
        </w:rPr>
        <w:t>Housing Estates (in addition to Whole Borough requirements and prohibitions)</w:t>
      </w:r>
    </w:p>
    <w:p w14:paraId="7CB67BF6" w14:textId="77777777" w:rsidR="00E65487" w:rsidRPr="00436661" w:rsidRDefault="00E65487" w:rsidP="00436661">
      <w:pPr>
        <w:jc w:val="both"/>
        <w:rPr>
          <w:rFonts w:cs="Arial"/>
          <w:sz w:val="20"/>
        </w:rPr>
      </w:pPr>
    </w:p>
    <w:p w14:paraId="648E774C" w14:textId="0980E374" w:rsidR="00EB1A4D" w:rsidRPr="00436661" w:rsidRDefault="00EB1A4D" w:rsidP="00436661">
      <w:pPr>
        <w:jc w:val="both"/>
        <w:rPr>
          <w:rFonts w:cs="Arial"/>
          <w:sz w:val="20"/>
        </w:rPr>
      </w:pPr>
      <w:r w:rsidRPr="00436661">
        <w:rPr>
          <w:rFonts w:cs="Arial"/>
          <w:sz w:val="20"/>
        </w:rPr>
        <w:t>As shown highlighted on the attached plan in Appendix</w:t>
      </w:r>
      <w:r w:rsidR="00EE7DE2">
        <w:rPr>
          <w:rFonts w:cs="Arial"/>
          <w:sz w:val="20"/>
        </w:rPr>
        <w:t xml:space="preserve"> </w:t>
      </w:r>
      <w:r w:rsidR="007858CF">
        <w:rPr>
          <w:rFonts w:cs="Arial"/>
          <w:sz w:val="20"/>
        </w:rPr>
        <w:t>1</w:t>
      </w:r>
      <w:r w:rsidR="002C23E6">
        <w:rPr>
          <w:rFonts w:cs="Arial"/>
          <w:sz w:val="20"/>
        </w:rPr>
        <w:t xml:space="preserve"> </w:t>
      </w:r>
      <w:r w:rsidRPr="00436661">
        <w:rPr>
          <w:rFonts w:cs="Arial"/>
          <w:sz w:val="20"/>
        </w:rPr>
        <w:t>(‘the designated area’)</w:t>
      </w:r>
    </w:p>
    <w:p w14:paraId="53D4D4FA" w14:textId="77777777" w:rsidR="00E65487" w:rsidRPr="00EE7DE2" w:rsidRDefault="00E65487" w:rsidP="00436661">
      <w:pPr>
        <w:jc w:val="both"/>
        <w:rPr>
          <w:rFonts w:cs="Arial"/>
          <w:b/>
          <w:bCs/>
          <w:sz w:val="20"/>
        </w:rPr>
      </w:pPr>
    </w:p>
    <w:p w14:paraId="48839718" w14:textId="77777777" w:rsidR="00EB1A4D" w:rsidRPr="00EE7DE2" w:rsidRDefault="00EB1A4D" w:rsidP="00436661">
      <w:pPr>
        <w:jc w:val="both"/>
        <w:rPr>
          <w:rFonts w:cs="Arial"/>
          <w:b/>
          <w:bCs/>
          <w:sz w:val="20"/>
        </w:rPr>
      </w:pPr>
      <w:r w:rsidRPr="00EE7DE2">
        <w:rPr>
          <w:rFonts w:cs="Arial"/>
          <w:b/>
          <w:bCs/>
          <w:sz w:val="20"/>
        </w:rPr>
        <w:t>Requirements - In all public spaces within this designated area, you are required to:</w:t>
      </w:r>
    </w:p>
    <w:p w14:paraId="11EBD494" w14:textId="77777777" w:rsidR="00E65487" w:rsidRPr="00436661" w:rsidRDefault="00E65487" w:rsidP="00436661">
      <w:pPr>
        <w:jc w:val="both"/>
        <w:rPr>
          <w:rFonts w:cs="Arial"/>
          <w:sz w:val="20"/>
        </w:rPr>
      </w:pPr>
    </w:p>
    <w:p w14:paraId="7B48508D" w14:textId="36C87778" w:rsidR="00EB1A4D" w:rsidRPr="00436661" w:rsidRDefault="00EB1A4D" w:rsidP="00436661">
      <w:pPr>
        <w:jc w:val="both"/>
        <w:rPr>
          <w:rFonts w:cs="Arial"/>
          <w:b/>
          <w:bCs/>
          <w:sz w:val="20"/>
        </w:rPr>
      </w:pPr>
      <w:r w:rsidRPr="00436661">
        <w:rPr>
          <w:rFonts w:cs="Arial"/>
          <w:sz w:val="20"/>
        </w:rPr>
        <w:t xml:space="preserve">1) </w:t>
      </w:r>
      <w:r w:rsidR="001B40E6">
        <w:rPr>
          <w:rFonts w:cs="Arial"/>
          <w:b/>
          <w:bCs/>
          <w:sz w:val="20"/>
        </w:rPr>
        <w:t>Disperse from</w:t>
      </w:r>
      <w:r w:rsidRPr="00436661">
        <w:rPr>
          <w:rFonts w:cs="Arial"/>
          <w:b/>
          <w:bCs/>
          <w:sz w:val="20"/>
        </w:rPr>
        <w:t xml:space="preserve"> </w:t>
      </w:r>
      <w:r w:rsidR="001B40E6">
        <w:rPr>
          <w:rFonts w:cs="Arial"/>
          <w:b/>
          <w:bCs/>
          <w:sz w:val="20"/>
        </w:rPr>
        <w:t>an area when asked</w:t>
      </w:r>
    </w:p>
    <w:p w14:paraId="00FD08DC" w14:textId="77777777" w:rsidR="00E65487" w:rsidRPr="00436661" w:rsidRDefault="00E65487" w:rsidP="00436661">
      <w:pPr>
        <w:jc w:val="both"/>
        <w:rPr>
          <w:rFonts w:cs="Arial"/>
          <w:sz w:val="20"/>
        </w:rPr>
      </w:pPr>
    </w:p>
    <w:p w14:paraId="33E9BA7D" w14:textId="39726EB2" w:rsidR="00A44B9C" w:rsidRPr="005276DC" w:rsidRDefault="0052346B" w:rsidP="005276DC">
      <w:pPr>
        <w:pStyle w:val="ListParagraph"/>
        <w:numPr>
          <w:ilvl w:val="0"/>
          <w:numId w:val="27"/>
        </w:numPr>
        <w:rPr>
          <w:rFonts w:cs="Arial"/>
          <w:sz w:val="20"/>
        </w:rPr>
      </w:pPr>
      <w:r>
        <w:rPr>
          <w:rFonts w:cs="Arial"/>
          <w:sz w:val="20"/>
        </w:rPr>
        <w:t xml:space="preserve">Disperse from an area when asked by an </w:t>
      </w:r>
      <w:r w:rsidR="005276DC" w:rsidRPr="005276DC">
        <w:rPr>
          <w:rFonts w:cs="Arial"/>
          <w:sz w:val="20"/>
        </w:rPr>
        <w:t>authorised officer because they reasonably believe that you have been or are obstructing the entrance to or exit from any building or, you have obstructed the free passage of people on or in communal areas without reasonable excuse.</w:t>
      </w:r>
    </w:p>
    <w:p w14:paraId="7D29C7CA" w14:textId="77777777" w:rsidR="00E47313" w:rsidRPr="00436661" w:rsidRDefault="00E47313" w:rsidP="00436661">
      <w:pPr>
        <w:jc w:val="both"/>
        <w:rPr>
          <w:rFonts w:cs="Arial"/>
          <w:sz w:val="20"/>
        </w:rPr>
      </w:pPr>
    </w:p>
    <w:p w14:paraId="668D90ED" w14:textId="536D6375" w:rsidR="00EB1A4D" w:rsidRPr="00436661" w:rsidRDefault="00EB1A4D" w:rsidP="00436661">
      <w:pPr>
        <w:jc w:val="both"/>
        <w:rPr>
          <w:rFonts w:cs="Arial"/>
          <w:b/>
          <w:bCs/>
          <w:sz w:val="20"/>
        </w:rPr>
      </w:pPr>
      <w:r w:rsidRPr="007E3CC2">
        <w:rPr>
          <w:rFonts w:cs="Arial"/>
          <w:sz w:val="20"/>
        </w:rPr>
        <w:t>2)</w:t>
      </w:r>
      <w:r w:rsidRPr="00436661">
        <w:rPr>
          <w:rFonts w:cs="Arial"/>
          <w:b/>
          <w:bCs/>
          <w:sz w:val="20"/>
        </w:rPr>
        <w:t xml:space="preserve"> </w:t>
      </w:r>
      <w:r w:rsidR="00CF7AC8">
        <w:rPr>
          <w:rFonts w:cs="Arial"/>
          <w:b/>
          <w:bCs/>
          <w:sz w:val="20"/>
        </w:rPr>
        <w:t>Cease c</w:t>
      </w:r>
      <w:r w:rsidR="00CF7AC8" w:rsidRPr="00436661">
        <w:rPr>
          <w:rFonts w:cs="Arial"/>
          <w:b/>
          <w:bCs/>
          <w:sz w:val="20"/>
        </w:rPr>
        <w:t xml:space="preserve">ausing an obstruction </w:t>
      </w:r>
      <w:r w:rsidR="00CF7AC8">
        <w:rPr>
          <w:rFonts w:cs="Arial"/>
          <w:b/>
          <w:bCs/>
          <w:sz w:val="20"/>
        </w:rPr>
        <w:t>when asked</w:t>
      </w:r>
    </w:p>
    <w:p w14:paraId="04217E94" w14:textId="77777777" w:rsidR="00E47313" w:rsidRPr="00436661" w:rsidRDefault="00E47313" w:rsidP="00436661">
      <w:pPr>
        <w:jc w:val="both"/>
        <w:rPr>
          <w:rFonts w:cs="Arial"/>
          <w:sz w:val="20"/>
        </w:rPr>
      </w:pPr>
    </w:p>
    <w:p w14:paraId="5FFDBF3E" w14:textId="3BD267A5" w:rsidR="00EB1A4D" w:rsidRPr="00436661" w:rsidRDefault="00EB1A4D" w:rsidP="007E3CC2">
      <w:pPr>
        <w:ind w:left="794" w:hanging="227"/>
        <w:jc w:val="both"/>
        <w:rPr>
          <w:rFonts w:cs="Arial"/>
          <w:sz w:val="20"/>
        </w:rPr>
      </w:pPr>
      <w:r w:rsidRPr="00436661">
        <w:rPr>
          <w:rFonts w:cs="Arial"/>
          <w:sz w:val="20"/>
        </w:rPr>
        <w:t xml:space="preserve">a. </w:t>
      </w:r>
      <w:r w:rsidR="00D66167" w:rsidRPr="00D66167">
        <w:rPr>
          <w:rFonts w:cs="Arial"/>
          <w:sz w:val="20"/>
        </w:rPr>
        <w:t>Cease to cause an obstruction if asked to do so by an authorised officer because they reasonably believe you have been causing an obstruction</w:t>
      </w:r>
      <w:r w:rsidRPr="00436661">
        <w:rPr>
          <w:rFonts w:cs="Arial"/>
          <w:sz w:val="20"/>
        </w:rPr>
        <w:t>.</w:t>
      </w:r>
    </w:p>
    <w:p w14:paraId="674C232B" w14:textId="77777777" w:rsidR="007475BE" w:rsidRPr="00436661" w:rsidRDefault="007475BE" w:rsidP="007E3CC2">
      <w:pPr>
        <w:ind w:left="794" w:hanging="227"/>
        <w:jc w:val="both"/>
        <w:rPr>
          <w:rFonts w:cs="Arial"/>
          <w:sz w:val="20"/>
        </w:rPr>
      </w:pPr>
    </w:p>
    <w:p w14:paraId="7505DB0D" w14:textId="624CE46A" w:rsidR="00EB1A4D" w:rsidRPr="00436661" w:rsidRDefault="00EB1A4D" w:rsidP="007E3CC2">
      <w:pPr>
        <w:ind w:left="794" w:hanging="227"/>
        <w:jc w:val="both"/>
        <w:rPr>
          <w:rFonts w:cs="Arial"/>
          <w:sz w:val="20"/>
        </w:rPr>
      </w:pPr>
      <w:r w:rsidRPr="00436661">
        <w:rPr>
          <w:rFonts w:cs="Arial"/>
          <w:sz w:val="20"/>
        </w:rPr>
        <w:lastRenderedPageBreak/>
        <w:t xml:space="preserve">b. </w:t>
      </w:r>
      <w:r w:rsidR="00884339">
        <w:rPr>
          <w:rFonts w:cs="Arial"/>
          <w:sz w:val="20"/>
        </w:rPr>
        <w:t>R</w:t>
      </w:r>
      <w:r w:rsidR="00884339" w:rsidRPr="00884339">
        <w:rPr>
          <w:rFonts w:cs="Arial"/>
          <w:sz w:val="20"/>
        </w:rPr>
        <w:t>emove all items/vehicles/structures if asked to do so by an authorised officer because they reasonably believe you have been causing an obstruction by leaving or allowing the leaving of items/vehicles/structures in an area where they prevent or hinder the free passage of pedestrians or vehicles</w:t>
      </w:r>
      <w:r w:rsidRPr="00436661">
        <w:rPr>
          <w:rFonts w:cs="Arial"/>
          <w:sz w:val="20"/>
        </w:rPr>
        <w:t>.</w:t>
      </w:r>
    </w:p>
    <w:p w14:paraId="742C7CB1" w14:textId="77777777" w:rsidR="007475BE" w:rsidRPr="00436661" w:rsidRDefault="007475BE" w:rsidP="00436661">
      <w:pPr>
        <w:jc w:val="both"/>
        <w:rPr>
          <w:rFonts w:cs="Arial"/>
          <w:sz w:val="20"/>
        </w:rPr>
      </w:pPr>
    </w:p>
    <w:p w14:paraId="045B7B88" w14:textId="757DCEA0" w:rsidR="00EB1A4D" w:rsidRPr="00902B40" w:rsidRDefault="00EB1A4D" w:rsidP="00436661">
      <w:pPr>
        <w:jc w:val="both"/>
        <w:rPr>
          <w:rFonts w:cs="Arial"/>
          <w:b/>
          <w:bCs/>
          <w:sz w:val="20"/>
        </w:rPr>
      </w:pPr>
      <w:r w:rsidRPr="00902B40">
        <w:rPr>
          <w:rFonts w:cs="Arial"/>
          <w:b/>
          <w:bCs/>
          <w:sz w:val="20"/>
        </w:rPr>
        <w:t>Prohibitions - In all public spaces within this designated area, you are prohibited from:</w:t>
      </w:r>
    </w:p>
    <w:p w14:paraId="63F6085F" w14:textId="77777777" w:rsidR="007475BE" w:rsidRPr="00436661" w:rsidRDefault="007475BE" w:rsidP="00436661">
      <w:pPr>
        <w:jc w:val="both"/>
        <w:rPr>
          <w:rFonts w:cs="Arial"/>
          <w:sz w:val="20"/>
        </w:rPr>
      </w:pPr>
    </w:p>
    <w:p w14:paraId="65882B3B" w14:textId="1F780DB4" w:rsidR="00EB1A4D" w:rsidRPr="00436661" w:rsidRDefault="00B22162" w:rsidP="00436661">
      <w:pPr>
        <w:jc w:val="both"/>
        <w:rPr>
          <w:rFonts w:cs="Arial"/>
          <w:b/>
          <w:bCs/>
          <w:sz w:val="20"/>
        </w:rPr>
      </w:pPr>
      <w:r w:rsidRPr="00B22162">
        <w:rPr>
          <w:rFonts w:cs="Arial"/>
          <w:sz w:val="20"/>
        </w:rPr>
        <w:t>3</w:t>
      </w:r>
      <w:r w:rsidR="00EB1A4D" w:rsidRPr="00B22162">
        <w:rPr>
          <w:rFonts w:cs="Arial"/>
          <w:sz w:val="20"/>
        </w:rPr>
        <w:t>)</w:t>
      </w:r>
      <w:r w:rsidR="00EB1A4D" w:rsidRPr="00436661">
        <w:rPr>
          <w:rFonts w:cs="Arial"/>
          <w:b/>
          <w:bCs/>
          <w:sz w:val="20"/>
        </w:rPr>
        <w:t xml:space="preserve"> </w:t>
      </w:r>
      <w:r w:rsidR="00902B40">
        <w:rPr>
          <w:rFonts w:cs="Arial"/>
          <w:b/>
          <w:bCs/>
          <w:sz w:val="20"/>
        </w:rPr>
        <w:t>Leaving waste outside the bins</w:t>
      </w:r>
    </w:p>
    <w:p w14:paraId="114C743E" w14:textId="77777777" w:rsidR="007475BE" w:rsidRPr="00436661" w:rsidRDefault="007475BE" w:rsidP="00436661">
      <w:pPr>
        <w:jc w:val="both"/>
        <w:rPr>
          <w:rFonts w:cs="Arial"/>
          <w:sz w:val="20"/>
        </w:rPr>
      </w:pPr>
    </w:p>
    <w:p w14:paraId="33EF5EF6" w14:textId="11ED3C34" w:rsidR="00EB1A4D" w:rsidRPr="00436661" w:rsidRDefault="00EB1A4D" w:rsidP="00224B75">
      <w:pPr>
        <w:ind w:left="794" w:hanging="227"/>
        <w:jc w:val="both"/>
        <w:rPr>
          <w:rFonts w:cs="Arial"/>
          <w:sz w:val="20"/>
        </w:rPr>
      </w:pPr>
      <w:r w:rsidRPr="00436661">
        <w:rPr>
          <w:rFonts w:cs="Arial"/>
          <w:sz w:val="20"/>
        </w:rPr>
        <w:t xml:space="preserve">a. </w:t>
      </w:r>
      <w:r w:rsidR="00A20FE7" w:rsidRPr="00A20FE7">
        <w:rPr>
          <w:rFonts w:cs="Arial"/>
          <w:sz w:val="20"/>
        </w:rPr>
        <w:t>leaving and/or depositing any rubbish or waste, including but not limited to household waste, and builders waste outside of any bin or receptacle provided for this purpose</w:t>
      </w:r>
      <w:r w:rsidR="002A1BCF">
        <w:rPr>
          <w:rFonts w:cs="Arial"/>
          <w:sz w:val="20"/>
        </w:rPr>
        <w:t>.</w:t>
      </w:r>
    </w:p>
    <w:p w14:paraId="4B80B353" w14:textId="77777777" w:rsidR="007A7333" w:rsidRPr="00436661" w:rsidRDefault="007A7333" w:rsidP="00436661">
      <w:pPr>
        <w:jc w:val="both"/>
        <w:rPr>
          <w:rFonts w:cs="Arial"/>
          <w:sz w:val="20"/>
        </w:rPr>
      </w:pPr>
    </w:p>
    <w:p w14:paraId="43400161" w14:textId="6A19B7DB" w:rsidR="00EB1A4D" w:rsidRDefault="00B22162" w:rsidP="00436661">
      <w:pPr>
        <w:jc w:val="both"/>
        <w:rPr>
          <w:rFonts w:cs="Arial"/>
          <w:b/>
          <w:bCs/>
          <w:sz w:val="20"/>
        </w:rPr>
      </w:pPr>
      <w:r>
        <w:rPr>
          <w:rFonts w:cs="Arial"/>
          <w:sz w:val="20"/>
        </w:rPr>
        <w:t>4</w:t>
      </w:r>
      <w:r w:rsidR="007A7333" w:rsidRPr="00B22162">
        <w:rPr>
          <w:rFonts w:cs="Arial"/>
          <w:sz w:val="20"/>
        </w:rPr>
        <w:t xml:space="preserve">) </w:t>
      </w:r>
      <w:r w:rsidR="004B36A6">
        <w:rPr>
          <w:rFonts w:cs="Arial"/>
          <w:b/>
          <w:bCs/>
          <w:sz w:val="20"/>
        </w:rPr>
        <w:t xml:space="preserve">Leaving food exposed </w:t>
      </w:r>
      <w:r w:rsidR="00F72273">
        <w:rPr>
          <w:rFonts w:cs="Arial"/>
          <w:b/>
          <w:bCs/>
          <w:sz w:val="20"/>
        </w:rPr>
        <w:t xml:space="preserve">for wildlife and </w:t>
      </w:r>
      <w:r w:rsidR="00245D2F">
        <w:rPr>
          <w:rFonts w:cs="Arial"/>
          <w:b/>
          <w:bCs/>
          <w:sz w:val="20"/>
        </w:rPr>
        <w:t>attracting</w:t>
      </w:r>
      <w:r w:rsidR="007A27B3">
        <w:rPr>
          <w:rFonts w:cs="Arial"/>
          <w:b/>
          <w:bCs/>
          <w:sz w:val="20"/>
        </w:rPr>
        <w:t xml:space="preserve"> </w:t>
      </w:r>
      <w:r w:rsidR="00245D2F">
        <w:rPr>
          <w:rFonts w:cs="Arial"/>
          <w:b/>
          <w:bCs/>
          <w:sz w:val="20"/>
        </w:rPr>
        <w:t>vermin</w:t>
      </w:r>
    </w:p>
    <w:p w14:paraId="55C4D8CF" w14:textId="3D8EF4E1" w:rsidR="000B1012" w:rsidRPr="00436661" w:rsidRDefault="000B1012" w:rsidP="000B1012">
      <w:pPr>
        <w:jc w:val="both"/>
        <w:rPr>
          <w:rFonts w:cs="Arial"/>
          <w:sz w:val="20"/>
        </w:rPr>
      </w:pPr>
    </w:p>
    <w:p w14:paraId="582FB122" w14:textId="687C231F" w:rsidR="00F54461" w:rsidRPr="00AA229A" w:rsidRDefault="007E7F5A" w:rsidP="007E7F5A">
      <w:pPr>
        <w:ind w:left="993" w:hanging="273"/>
        <w:rPr>
          <w:rFonts w:cs="Arial"/>
          <w:sz w:val="20"/>
        </w:rPr>
      </w:pPr>
      <w:r w:rsidRPr="000B1012">
        <w:rPr>
          <w:rFonts w:cs="Arial"/>
          <w:sz w:val="20"/>
        </w:rPr>
        <w:t xml:space="preserve">a </w:t>
      </w:r>
      <w:r w:rsidR="000B1012" w:rsidRPr="000B1012">
        <w:rPr>
          <w:rFonts w:cs="Arial"/>
          <w:sz w:val="20"/>
        </w:rPr>
        <w:t>Purposely depositing</w:t>
      </w:r>
      <w:r w:rsidR="00AA229A" w:rsidRPr="000B1012">
        <w:rPr>
          <w:rFonts w:cs="Arial"/>
          <w:sz w:val="20"/>
        </w:rPr>
        <w:t xml:space="preserve"> food or animal feed </w:t>
      </w:r>
      <w:r w:rsidR="000B1012" w:rsidRPr="000B1012">
        <w:rPr>
          <w:rFonts w:cs="Arial"/>
          <w:sz w:val="20"/>
        </w:rPr>
        <w:t xml:space="preserve">to attract or feed wildlife </w:t>
      </w:r>
      <w:r w:rsidR="00AA229A" w:rsidRPr="000B1012">
        <w:rPr>
          <w:rFonts w:cs="Arial"/>
          <w:sz w:val="20"/>
        </w:rPr>
        <w:t xml:space="preserve">in an area identified ‘no feeding’ by </w:t>
      </w:r>
      <w:r w:rsidR="000B1012" w:rsidRPr="000B1012">
        <w:rPr>
          <w:rFonts w:cs="Arial"/>
          <w:sz w:val="20"/>
        </w:rPr>
        <w:t>signage.</w:t>
      </w:r>
      <w:r w:rsidR="005276DC">
        <w:rPr>
          <w:rFonts w:cs="Arial"/>
          <w:sz w:val="20"/>
        </w:rPr>
        <w:t xml:space="preserve"> </w:t>
      </w:r>
      <w:r w:rsidR="005276DC" w:rsidRPr="005276DC">
        <w:rPr>
          <w:rFonts w:cs="Arial"/>
          <w:sz w:val="20"/>
        </w:rPr>
        <w:t>This does not apply to the feeding of any animals that you may own or be responsible for</w:t>
      </w:r>
    </w:p>
    <w:p w14:paraId="69CFFE34" w14:textId="77777777" w:rsidR="00923797" w:rsidRPr="00F54461" w:rsidRDefault="00923797" w:rsidP="00AA229A">
      <w:pPr>
        <w:rPr>
          <w:rFonts w:cs="Arial"/>
          <w:sz w:val="20"/>
        </w:rPr>
      </w:pPr>
    </w:p>
    <w:p w14:paraId="1F96CA6B" w14:textId="3395E003" w:rsidR="00EB1A4D" w:rsidRPr="00436661" w:rsidRDefault="00B22162" w:rsidP="00436661">
      <w:pPr>
        <w:jc w:val="both"/>
        <w:rPr>
          <w:rFonts w:cs="Arial"/>
          <w:b/>
          <w:bCs/>
          <w:sz w:val="20"/>
        </w:rPr>
      </w:pPr>
      <w:r w:rsidRPr="00B22162">
        <w:rPr>
          <w:rFonts w:cs="Arial"/>
          <w:sz w:val="20"/>
        </w:rPr>
        <w:t>5</w:t>
      </w:r>
      <w:r w:rsidR="008D3CE1" w:rsidRPr="00B22162">
        <w:rPr>
          <w:rFonts w:cs="Arial"/>
          <w:sz w:val="20"/>
        </w:rPr>
        <w:t>.</w:t>
      </w:r>
      <w:r w:rsidR="008D3CE1">
        <w:rPr>
          <w:rFonts w:cs="Arial"/>
          <w:b/>
          <w:bCs/>
          <w:sz w:val="20"/>
        </w:rPr>
        <w:t xml:space="preserve"> </w:t>
      </w:r>
      <w:r w:rsidR="00EB1A4D" w:rsidRPr="00436661">
        <w:rPr>
          <w:rFonts w:cs="Arial"/>
          <w:b/>
          <w:bCs/>
          <w:sz w:val="20"/>
        </w:rPr>
        <w:t>Duration</w:t>
      </w:r>
    </w:p>
    <w:p w14:paraId="5E685947" w14:textId="77777777" w:rsidR="00ED2392" w:rsidRPr="00436661" w:rsidRDefault="00ED2392" w:rsidP="00436661">
      <w:pPr>
        <w:jc w:val="both"/>
        <w:rPr>
          <w:rFonts w:cs="Arial"/>
          <w:sz w:val="20"/>
        </w:rPr>
      </w:pPr>
    </w:p>
    <w:p w14:paraId="1E30E090" w14:textId="77777777" w:rsidR="00097D55" w:rsidRPr="00436661" w:rsidRDefault="00EB1A4D" w:rsidP="00436661">
      <w:pPr>
        <w:jc w:val="both"/>
        <w:rPr>
          <w:rFonts w:cs="Arial"/>
          <w:sz w:val="20"/>
        </w:rPr>
      </w:pPr>
      <w:r w:rsidRPr="00436661">
        <w:rPr>
          <w:rFonts w:cs="Arial"/>
          <w:sz w:val="20"/>
        </w:rPr>
        <w:t xml:space="preserve">The Order comes into effect on </w:t>
      </w:r>
      <w:r w:rsidR="00ED2392" w:rsidRPr="00436661">
        <w:rPr>
          <w:rFonts w:cs="Arial"/>
          <w:sz w:val="20"/>
        </w:rPr>
        <w:t>[date 2023]</w:t>
      </w:r>
      <w:r w:rsidRPr="00436661">
        <w:rPr>
          <w:rFonts w:cs="Arial"/>
          <w:sz w:val="20"/>
        </w:rPr>
        <w:t xml:space="preserve"> and will be in effect for a period of three years, </w:t>
      </w:r>
      <w:r w:rsidR="001B3715" w:rsidRPr="00436661">
        <w:rPr>
          <w:rFonts w:cs="Arial"/>
          <w:sz w:val="20"/>
        </w:rPr>
        <w:t>[Date</w:t>
      </w:r>
      <w:r w:rsidRPr="00436661">
        <w:rPr>
          <w:rFonts w:cs="Arial"/>
          <w:sz w:val="20"/>
        </w:rPr>
        <w:t xml:space="preserve"> </w:t>
      </w:r>
      <w:r w:rsidR="00097D55" w:rsidRPr="00436661">
        <w:rPr>
          <w:rFonts w:cs="Arial"/>
          <w:sz w:val="20"/>
        </w:rPr>
        <w:t>2026]</w:t>
      </w:r>
      <w:r w:rsidRPr="00436661">
        <w:rPr>
          <w:rFonts w:cs="Arial"/>
          <w:sz w:val="20"/>
        </w:rPr>
        <w:t xml:space="preserve">. </w:t>
      </w:r>
    </w:p>
    <w:p w14:paraId="78A36E23" w14:textId="77777777" w:rsidR="00097D55" w:rsidRPr="00436661" w:rsidRDefault="00097D55" w:rsidP="00436661">
      <w:pPr>
        <w:jc w:val="both"/>
        <w:rPr>
          <w:rFonts w:cs="Arial"/>
          <w:sz w:val="20"/>
        </w:rPr>
      </w:pPr>
    </w:p>
    <w:p w14:paraId="6F5F0A0B" w14:textId="77777777" w:rsidR="00EB1A4D" w:rsidRPr="00436661" w:rsidRDefault="00EB1A4D" w:rsidP="00436661">
      <w:pPr>
        <w:jc w:val="both"/>
        <w:rPr>
          <w:rFonts w:cs="Arial"/>
          <w:sz w:val="20"/>
        </w:rPr>
      </w:pPr>
      <w:r w:rsidRPr="00436661">
        <w:rPr>
          <w:rFonts w:cs="Arial"/>
          <w:sz w:val="20"/>
        </w:rPr>
        <w:t xml:space="preserve">If there is need to do so, the Council may shorten, </w:t>
      </w:r>
      <w:proofErr w:type="gramStart"/>
      <w:r w:rsidRPr="00436661">
        <w:rPr>
          <w:rFonts w:cs="Arial"/>
          <w:sz w:val="20"/>
        </w:rPr>
        <w:t>extend</w:t>
      </w:r>
      <w:proofErr w:type="gramEnd"/>
      <w:r w:rsidRPr="00436661">
        <w:rPr>
          <w:rFonts w:cs="Arial"/>
          <w:sz w:val="20"/>
        </w:rPr>
        <w:t xml:space="preserve"> or vary the order at any time in the three years. If the Council wants to extend or vary the Order, they must consult appropriate community representatives, the </w:t>
      </w:r>
      <w:proofErr w:type="gramStart"/>
      <w:r w:rsidRPr="00436661">
        <w:rPr>
          <w:rFonts w:cs="Arial"/>
          <w:sz w:val="20"/>
        </w:rPr>
        <w:t>police</w:t>
      </w:r>
      <w:proofErr w:type="gramEnd"/>
      <w:r w:rsidRPr="00436661">
        <w:rPr>
          <w:rFonts w:cs="Arial"/>
          <w:sz w:val="20"/>
        </w:rPr>
        <w:t xml:space="preserve"> and owners of the affected land on the variation.</w:t>
      </w:r>
    </w:p>
    <w:p w14:paraId="344194BA" w14:textId="77777777" w:rsidR="003517B0" w:rsidRPr="00436661" w:rsidRDefault="003517B0" w:rsidP="00436661">
      <w:pPr>
        <w:jc w:val="both"/>
        <w:rPr>
          <w:rFonts w:cs="Arial"/>
          <w:b/>
          <w:bCs/>
          <w:sz w:val="20"/>
        </w:rPr>
      </w:pPr>
    </w:p>
    <w:p w14:paraId="2C113624" w14:textId="485F3D80" w:rsidR="00EB1A4D" w:rsidRDefault="00B22162" w:rsidP="00436661">
      <w:pPr>
        <w:jc w:val="both"/>
        <w:rPr>
          <w:rFonts w:cs="Arial"/>
          <w:b/>
          <w:bCs/>
          <w:sz w:val="20"/>
        </w:rPr>
      </w:pPr>
      <w:r>
        <w:rPr>
          <w:rFonts w:cs="Arial"/>
          <w:sz w:val="20"/>
        </w:rPr>
        <w:t>6.</w:t>
      </w:r>
      <w:r w:rsidR="008D3CE1">
        <w:rPr>
          <w:rFonts w:cs="Arial"/>
          <w:b/>
          <w:bCs/>
          <w:sz w:val="20"/>
        </w:rPr>
        <w:t xml:space="preserve"> </w:t>
      </w:r>
      <w:r w:rsidR="00EB1A4D" w:rsidRPr="00436661">
        <w:rPr>
          <w:rFonts w:cs="Arial"/>
          <w:b/>
          <w:bCs/>
          <w:sz w:val="20"/>
        </w:rPr>
        <w:t>Appeal</w:t>
      </w:r>
    </w:p>
    <w:p w14:paraId="7E72847A" w14:textId="77777777" w:rsidR="007059D6" w:rsidRPr="00436661" w:rsidRDefault="007059D6" w:rsidP="00436661">
      <w:pPr>
        <w:jc w:val="both"/>
        <w:rPr>
          <w:rFonts w:cs="Arial"/>
          <w:b/>
          <w:bCs/>
          <w:sz w:val="20"/>
        </w:rPr>
      </w:pPr>
    </w:p>
    <w:p w14:paraId="2B56DD85" w14:textId="77777777" w:rsidR="00EB1A4D" w:rsidRPr="00436661" w:rsidRDefault="00EB1A4D" w:rsidP="00436661">
      <w:pPr>
        <w:jc w:val="both"/>
        <w:rPr>
          <w:rFonts w:cs="Arial"/>
          <w:sz w:val="20"/>
        </w:rPr>
      </w:pPr>
      <w:r w:rsidRPr="00436661">
        <w:rPr>
          <w:rFonts w:cs="Arial"/>
          <w:sz w:val="20"/>
        </w:rPr>
        <w:t>If any ‘interested person’ (a person living in, working in, or regularly visiting the affected area) wishes to appeal this Order, they must do so on one of two grounds (s 66 of the Anti-Social Behaviour, Crime and Policing Act 2014):</w:t>
      </w:r>
    </w:p>
    <w:p w14:paraId="541F4EF8" w14:textId="77777777" w:rsidR="00854D15" w:rsidRPr="00436661" w:rsidRDefault="00854D15" w:rsidP="00436661">
      <w:pPr>
        <w:jc w:val="both"/>
        <w:rPr>
          <w:rFonts w:cs="Arial"/>
          <w:sz w:val="20"/>
        </w:rPr>
      </w:pPr>
    </w:p>
    <w:p w14:paraId="3E7CF402" w14:textId="6949ED3E" w:rsidR="00EB1A4D" w:rsidRPr="00436661" w:rsidRDefault="00EB1A4D" w:rsidP="00436661">
      <w:pPr>
        <w:jc w:val="both"/>
        <w:rPr>
          <w:rFonts w:cs="Arial"/>
          <w:sz w:val="20"/>
        </w:rPr>
      </w:pPr>
      <w:r w:rsidRPr="00436661">
        <w:rPr>
          <w:rFonts w:cs="Arial"/>
          <w:sz w:val="20"/>
        </w:rPr>
        <w:t>1) The Council did not have the legal power to make the Order.</w:t>
      </w:r>
    </w:p>
    <w:p w14:paraId="46AF9833" w14:textId="77777777" w:rsidR="00854D15" w:rsidRPr="00436661" w:rsidRDefault="00854D15" w:rsidP="00436661">
      <w:pPr>
        <w:jc w:val="both"/>
        <w:rPr>
          <w:rFonts w:cs="Arial"/>
          <w:sz w:val="20"/>
        </w:rPr>
      </w:pPr>
    </w:p>
    <w:p w14:paraId="5AA9CF82" w14:textId="596EB611" w:rsidR="00EB1A4D" w:rsidRPr="00436661" w:rsidRDefault="00EB1A4D" w:rsidP="00436661">
      <w:pPr>
        <w:jc w:val="both"/>
        <w:rPr>
          <w:rFonts w:cs="Arial"/>
          <w:sz w:val="20"/>
        </w:rPr>
      </w:pPr>
      <w:r w:rsidRPr="00436661">
        <w:rPr>
          <w:rFonts w:cs="Arial"/>
          <w:sz w:val="20"/>
        </w:rPr>
        <w:t>2) The Council did not follow all the requirements listed in Chapter 2 of the Anti-Social Behaviour, Crime and Policing Act 2014.</w:t>
      </w:r>
    </w:p>
    <w:p w14:paraId="074B8657" w14:textId="77777777" w:rsidR="00854D15" w:rsidRPr="00436661" w:rsidRDefault="00854D15" w:rsidP="00436661">
      <w:pPr>
        <w:jc w:val="both"/>
        <w:rPr>
          <w:rFonts w:cs="Arial"/>
          <w:sz w:val="20"/>
        </w:rPr>
      </w:pPr>
    </w:p>
    <w:p w14:paraId="3F8AA5D0" w14:textId="77777777" w:rsidR="00EB1A4D" w:rsidRPr="00436661" w:rsidRDefault="00EB1A4D" w:rsidP="00436661">
      <w:pPr>
        <w:jc w:val="both"/>
        <w:rPr>
          <w:rFonts w:cs="Arial"/>
          <w:sz w:val="20"/>
        </w:rPr>
      </w:pPr>
      <w:r w:rsidRPr="00436661">
        <w:rPr>
          <w:rFonts w:cs="Arial"/>
          <w:sz w:val="20"/>
        </w:rPr>
        <w:t>The interested person(s) must appeal the Order with an application to the High Court within six weeks of the Order being made.</w:t>
      </w:r>
    </w:p>
    <w:p w14:paraId="0C0E26D1" w14:textId="77777777" w:rsidR="00AB6E94" w:rsidRPr="00436661" w:rsidRDefault="00AB6E94" w:rsidP="00436661">
      <w:pPr>
        <w:kinsoku w:val="0"/>
        <w:overflowPunct w:val="0"/>
        <w:autoSpaceDE w:val="0"/>
        <w:autoSpaceDN w:val="0"/>
        <w:adjustRightInd w:val="0"/>
        <w:spacing w:line="266" w:lineRule="exact"/>
        <w:ind w:left="40"/>
        <w:jc w:val="both"/>
        <w:rPr>
          <w:rFonts w:cs="Arial"/>
          <w:b/>
          <w:sz w:val="20"/>
        </w:rPr>
      </w:pPr>
    </w:p>
    <w:p w14:paraId="64C05896" w14:textId="2B02264D" w:rsidR="001626D4" w:rsidRDefault="00B22162" w:rsidP="007059D6">
      <w:pPr>
        <w:jc w:val="both"/>
        <w:rPr>
          <w:rFonts w:cs="Arial"/>
          <w:b/>
          <w:bCs/>
          <w:sz w:val="20"/>
        </w:rPr>
      </w:pPr>
      <w:r>
        <w:rPr>
          <w:rFonts w:cs="Arial"/>
          <w:sz w:val="20"/>
        </w:rPr>
        <w:t xml:space="preserve">7. </w:t>
      </w:r>
      <w:r w:rsidR="007059D6">
        <w:rPr>
          <w:rFonts w:cs="Arial"/>
          <w:b/>
          <w:bCs/>
          <w:sz w:val="20"/>
        </w:rPr>
        <w:t xml:space="preserve"> </w:t>
      </w:r>
      <w:r w:rsidR="001626D4" w:rsidRPr="007059D6">
        <w:rPr>
          <w:rFonts w:cs="Arial"/>
          <w:b/>
          <w:bCs/>
          <w:sz w:val="20"/>
        </w:rPr>
        <w:t>Information</w:t>
      </w:r>
    </w:p>
    <w:p w14:paraId="68A2DCFA" w14:textId="77777777" w:rsidR="007059D6" w:rsidRPr="007059D6" w:rsidRDefault="007059D6" w:rsidP="007059D6">
      <w:pPr>
        <w:jc w:val="both"/>
        <w:rPr>
          <w:rFonts w:cs="Arial"/>
          <w:b/>
          <w:bCs/>
          <w:sz w:val="20"/>
        </w:rPr>
      </w:pPr>
    </w:p>
    <w:p w14:paraId="7ADCB99B" w14:textId="72B197F5" w:rsidR="001626D4" w:rsidRPr="00436661" w:rsidRDefault="001626D4" w:rsidP="00436661">
      <w:pPr>
        <w:kinsoku w:val="0"/>
        <w:overflowPunct w:val="0"/>
        <w:autoSpaceDE w:val="0"/>
        <w:autoSpaceDN w:val="0"/>
        <w:adjustRightInd w:val="0"/>
        <w:spacing w:line="266" w:lineRule="exact"/>
        <w:ind w:left="40"/>
        <w:jc w:val="both"/>
        <w:rPr>
          <w:rFonts w:eastAsiaTheme="minorHAnsi" w:cs="Arial"/>
          <w:color w:val="0562C1"/>
          <w:sz w:val="20"/>
        </w:rPr>
      </w:pPr>
      <w:r w:rsidRPr="00436661">
        <w:rPr>
          <w:rFonts w:eastAsiaTheme="minorHAnsi" w:cs="Arial"/>
          <w:sz w:val="20"/>
        </w:rPr>
        <w:t>Further information about th</w:t>
      </w:r>
      <w:r w:rsidR="00BD68F9" w:rsidRPr="00436661">
        <w:rPr>
          <w:rFonts w:eastAsiaTheme="minorHAnsi" w:cs="Arial"/>
          <w:sz w:val="20"/>
        </w:rPr>
        <w:t>e</w:t>
      </w:r>
      <w:r w:rsidRPr="00436661">
        <w:rPr>
          <w:rFonts w:eastAsiaTheme="minorHAnsi" w:cs="Arial"/>
          <w:sz w:val="20"/>
        </w:rPr>
        <w:t xml:space="preserve"> PSPO and matters related within it, can be found at </w:t>
      </w:r>
      <w:hyperlink r:id="rId11" w:history="1">
        <w:r w:rsidRPr="00436661">
          <w:rPr>
            <w:rFonts w:eastAsiaTheme="minorHAnsi" w:cs="Arial"/>
            <w:color w:val="0562C1"/>
            <w:sz w:val="20"/>
            <w:u w:val="single"/>
          </w:rPr>
          <w:t>www.harrow.gov.uk/licensing</w:t>
        </w:r>
      </w:hyperlink>
    </w:p>
    <w:p w14:paraId="635A41E9" w14:textId="0DFE914F" w:rsidR="00F11634" w:rsidRPr="00436661" w:rsidRDefault="00F11634" w:rsidP="00436661">
      <w:pPr>
        <w:jc w:val="both"/>
        <w:rPr>
          <w:rFonts w:cs="Arial"/>
          <w:sz w:val="20"/>
        </w:rPr>
      </w:pPr>
    </w:p>
    <w:p w14:paraId="7CE58D92" w14:textId="44D13D3F" w:rsidR="007059D6" w:rsidRDefault="00B22162" w:rsidP="00436661">
      <w:pPr>
        <w:jc w:val="both"/>
        <w:rPr>
          <w:rFonts w:cs="Arial"/>
          <w:b/>
          <w:bCs/>
          <w:sz w:val="20"/>
        </w:rPr>
      </w:pPr>
      <w:r w:rsidRPr="00B22162">
        <w:rPr>
          <w:rFonts w:cs="Arial"/>
          <w:sz w:val="20"/>
        </w:rPr>
        <w:t>8</w:t>
      </w:r>
      <w:r w:rsidR="007059D6" w:rsidRPr="00B22162">
        <w:rPr>
          <w:rFonts w:cs="Arial"/>
          <w:sz w:val="20"/>
        </w:rPr>
        <w:t>.</w:t>
      </w:r>
      <w:r w:rsidR="007059D6" w:rsidRPr="007059D6">
        <w:rPr>
          <w:rFonts w:cs="Arial"/>
          <w:b/>
          <w:bCs/>
          <w:sz w:val="20"/>
        </w:rPr>
        <w:t xml:space="preserve"> </w:t>
      </w:r>
      <w:r w:rsidR="00AB6E94" w:rsidRPr="007059D6">
        <w:rPr>
          <w:rFonts w:cs="Arial"/>
          <w:b/>
          <w:bCs/>
          <w:sz w:val="20"/>
        </w:rPr>
        <w:t>Appendices</w:t>
      </w:r>
    </w:p>
    <w:p w14:paraId="1B8388EC" w14:textId="77777777" w:rsidR="007059D6" w:rsidRPr="007059D6" w:rsidRDefault="007059D6" w:rsidP="00436661">
      <w:pPr>
        <w:jc w:val="both"/>
        <w:rPr>
          <w:rFonts w:cs="Arial"/>
          <w:b/>
          <w:bCs/>
          <w:sz w:val="20"/>
        </w:rPr>
      </w:pPr>
    </w:p>
    <w:p w14:paraId="6A733C94" w14:textId="34EED071" w:rsidR="007A7333" w:rsidRPr="00436661" w:rsidRDefault="0008121D" w:rsidP="00436661">
      <w:pPr>
        <w:jc w:val="both"/>
        <w:rPr>
          <w:rFonts w:cs="Arial"/>
          <w:sz w:val="20"/>
        </w:rPr>
      </w:pPr>
      <w:r w:rsidRPr="00436661">
        <w:rPr>
          <w:rFonts w:cs="Arial"/>
          <w:sz w:val="20"/>
        </w:rPr>
        <w:t xml:space="preserve">1 </w:t>
      </w:r>
      <w:r w:rsidR="006427AF" w:rsidRPr="006427AF">
        <w:rPr>
          <w:rFonts w:cs="Arial"/>
          <w:sz w:val="20"/>
        </w:rPr>
        <w:t>Designated area</w:t>
      </w:r>
      <w:r w:rsidR="00714697">
        <w:rPr>
          <w:rFonts w:cs="Arial"/>
          <w:sz w:val="20"/>
        </w:rPr>
        <w:t xml:space="preserve"> - </w:t>
      </w:r>
      <w:r w:rsidR="006427AF" w:rsidRPr="006427AF">
        <w:rPr>
          <w:rFonts w:cs="Arial"/>
          <w:sz w:val="20"/>
        </w:rPr>
        <w:t>Housing Estates</w:t>
      </w:r>
      <w:r w:rsidR="00D20578">
        <w:rPr>
          <w:rFonts w:cs="Arial"/>
          <w:sz w:val="20"/>
        </w:rPr>
        <w:t xml:space="preserve"> </w:t>
      </w:r>
      <w:r w:rsidR="00D20578" w:rsidRPr="00D20578">
        <w:rPr>
          <w:rFonts w:cs="Arial"/>
          <w:sz w:val="20"/>
        </w:rPr>
        <w:t>and Housing Land</w:t>
      </w:r>
    </w:p>
    <w:p w14:paraId="313B4119" w14:textId="493D19F9" w:rsidR="00EF4B07" w:rsidRPr="00436661" w:rsidRDefault="00EF4B07" w:rsidP="00436661">
      <w:pPr>
        <w:spacing w:after="160" w:line="259" w:lineRule="auto"/>
        <w:jc w:val="both"/>
        <w:rPr>
          <w:rFonts w:cs="Arial"/>
          <w:sz w:val="20"/>
        </w:rPr>
      </w:pPr>
      <w:r w:rsidRPr="00436661">
        <w:rPr>
          <w:rFonts w:cs="Arial"/>
          <w:sz w:val="20"/>
        </w:rPr>
        <w:br w:type="page"/>
      </w:r>
    </w:p>
    <w:p w14:paraId="2848CEB6" w14:textId="68E62CD3" w:rsidR="000426B2" w:rsidRPr="00436661" w:rsidRDefault="001A1D1C" w:rsidP="00436661">
      <w:pPr>
        <w:jc w:val="both"/>
        <w:rPr>
          <w:rFonts w:cs="Arial"/>
          <w:sz w:val="20"/>
        </w:rPr>
      </w:pPr>
      <w:r w:rsidRPr="00436661">
        <w:rPr>
          <w:rFonts w:cs="Arial"/>
          <w:sz w:val="20"/>
        </w:rPr>
        <w:lastRenderedPageBreak/>
        <w:t>Appendix 1</w:t>
      </w:r>
    </w:p>
    <w:p w14:paraId="25F1668F" w14:textId="1B7CC846" w:rsidR="006427AF" w:rsidRDefault="003F2EA3" w:rsidP="00436661">
      <w:pPr>
        <w:jc w:val="both"/>
        <w:rPr>
          <w:rFonts w:cs="Arial"/>
          <w:b/>
          <w:bCs/>
          <w:sz w:val="20"/>
        </w:rPr>
      </w:pPr>
      <w:r w:rsidRPr="003F2EA3">
        <w:rPr>
          <w:rFonts w:cs="Arial"/>
          <w:b/>
          <w:bCs/>
          <w:sz w:val="20"/>
        </w:rPr>
        <w:t xml:space="preserve"> </w:t>
      </w:r>
    </w:p>
    <w:p w14:paraId="2E0FF1D0" w14:textId="65B6D779" w:rsidR="0003329C" w:rsidRPr="003F2EA3" w:rsidRDefault="003F2EA3" w:rsidP="00436661">
      <w:pPr>
        <w:jc w:val="both"/>
        <w:rPr>
          <w:rFonts w:cs="Arial"/>
          <w:b/>
          <w:bCs/>
          <w:sz w:val="20"/>
        </w:rPr>
      </w:pPr>
      <w:r w:rsidRPr="003F2EA3">
        <w:rPr>
          <w:rFonts w:cs="Arial"/>
          <w:b/>
          <w:bCs/>
          <w:sz w:val="20"/>
        </w:rPr>
        <w:t>Designated area -</w:t>
      </w:r>
      <w:r w:rsidR="0003329C" w:rsidRPr="003F2EA3">
        <w:rPr>
          <w:rFonts w:cs="Arial"/>
          <w:b/>
          <w:bCs/>
          <w:sz w:val="20"/>
        </w:rPr>
        <w:t xml:space="preserve"> Housing </w:t>
      </w:r>
      <w:r w:rsidR="00E75613" w:rsidRPr="003F2EA3">
        <w:rPr>
          <w:rFonts w:cs="Arial"/>
          <w:b/>
          <w:bCs/>
          <w:sz w:val="20"/>
        </w:rPr>
        <w:t>E</w:t>
      </w:r>
      <w:r w:rsidR="0003329C" w:rsidRPr="003F2EA3">
        <w:rPr>
          <w:rFonts w:cs="Arial"/>
          <w:b/>
          <w:bCs/>
          <w:sz w:val="20"/>
        </w:rPr>
        <w:t>states</w:t>
      </w:r>
      <w:r w:rsidR="00D20578">
        <w:rPr>
          <w:rFonts w:cs="Arial"/>
          <w:b/>
          <w:bCs/>
          <w:sz w:val="20"/>
        </w:rPr>
        <w:t xml:space="preserve"> </w:t>
      </w:r>
      <w:r w:rsidR="00D20578" w:rsidRPr="00D20578">
        <w:rPr>
          <w:rFonts w:cs="Arial"/>
          <w:b/>
          <w:bCs/>
          <w:sz w:val="20"/>
        </w:rPr>
        <w:t>and Housing Land</w:t>
      </w:r>
    </w:p>
    <w:p w14:paraId="3FA393D8" w14:textId="016B913A" w:rsidR="0003329C" w:rsidRPr="00436661" w:rsidRDefault="0003329C" w:rsidP="00436661">
      <w:pPr>
        <w:jc w:val="both"/>
        <w:rPr>
          <w:rFonts w:cs="Arial"/>
          <w:sz w:val="20"/>
        </w:rPr>
      </w:pPr>
    </w:p>
    <w:p w14:paraId="16AF03B0" w14:textId="76FED3CF" w:rsidR="0003329C" w:rsidRPr="00436661" w:rsidRDefault="00D5156C" w:rsidP="00436661">
      <w:pPr>
        <w:jc w:val="both"/>
        <w:rPr>
          <w:rFonts w:cs="Arial"/>
          <w:sz w:val="20"/>
        </w:rPr>
      </w:pPr>
      <w:r w:rsidRPr="00436661">
        <w:rPr>
          <w:rFonts w:cs="Arial"/>
          <w:noProof/>
          <w:sz w:val="20"/>
        </w:rPr>
        <w:drawing>
          <wp:inline distT="0" distB="0" distL="0" distR="0" wp14:anchorId="0474126A" wp14:editId="4B8B4CF5">
            <wp:extent cx="3776345" cy="3814490"/>
            <wp:effectExtent l="0" t="0" r="0" b="0"/>
            <wp:docPr id="8" name="Picture 8">
              <a:extLst xmlns:a="http://schemas.openxmlformats.org/drawingml/2006/main">
                <a:ext uri="{FF2B5EF4-FFF2-40B4-BE49-F238E27FC236}">
                  <a16:creationId xmlns:a16="http://schemas.microsoft.com/office/drawing/2014/main" id="{73B3DB0D-7AD7-E5C5-FC6D-E89645A881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3B3DB0D-7AD7-E5C5-FC6D-E89645A8815F}"/>
                        </a:ext>
                      </a:extLst>
                    </pic:cNvPr>
                    <pic:cNvPicPr>
                      <a:picLocks noChangeAspect="1"/>
                    </pic:cNvPicPr>
                  </pic:nvPicPr>
                  <pic:blipFill>
                    <a:blip r:embed="rId12"/>
                    <a:stretch>
                      <a:fillRect/>
                    </a:stretch>
                  </pic:blipFill>
                  <pic:spPr>
                    <a:xfrm>
                      <a:off x="0" y="0"/>
                      <a:ext cx="3790484" cy="3828772"/>
                    </a:xfrm>
                    <a:prstGeom prst="rect">
                      <a:avLst/>
                    </a:prstGeom>
                  </pic:spPr>
                </pic:pic>
              </a:graphicData>
            </a:graphic>
          </wp:inline>
        </w:drawing>
      </w:r>
    </w:p>
    <w:p w14:paraId="33B74DC6" w14:textId="77777777" w:rsidR="000426B2" w:rsidRPr="00436661" w:rsidRDefault="000426B2" w:rsidP="00436661">
      <w:pPr>
        <w:jc w:val="both"/>
        <w:rPr>
          <w:rFonts w:cs="Arial"/>
          <w:sz w:val="20"/>
        </w:rPr>
      </w:pPr>
    </w:p>
    <w:p w14:paraId="4561D2E6" w14:textId="77777777" w:rsidR="002F2FE6" w:rsidRPr="00436661" w:rsidRDefault="002F2FE6" w:rsidP="00436661">
      <w:pPr>
        <w:jc w:val="both"/>
        <w:rPr>
          <w:rFonts w:cs="Arial"/>
          <w:sz w:val="20"/>
        </w:rPr>
      </w:pPr>
    </w:p>
    <w:p w14:paraId="7FE2A906" w14:textId="77777777" w:rsidR="00787A42" w:rsidRPr="00436661" w:rsidRDefault="00787A42" w:rsidP="5E564042">
      <w:pPr>
        <w:rPr>
          <w:rFonts w:cs="Arial"/>
          <w:sz w:val="20"/>
        </w:rPr>
        <w:sectPr w:rsidR="00787A42" w:rsidRPr="00436661" w:rsidSect="0006564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720" w:left="720" w:header="708" w:footer="708" w:gutter="0"/>
          <w:cols w:space="708"/>
          <w:docGrid w:linePitch="360"/>
        </w:sectPr>
      </w:pPr>
    </w:p>
    <w:p w14:paraId="54E48E0E" w14:textId="5D1F2464"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Chaucer House Estate</w:t>
      </w:r>
    </w:p>
    <w:p w14:paraId="5F2A9A62" w14:textId="79DA8A31" w:rsidR="002F2FE6" w:rsidRPr="00436661" w:rsidRDefault="00EA124A" w:rsidP="003F2EA3">
      <w:pPr>
        <w:pStyle w:val="ListParagraph"/>
        <w:numPr>
          <w:ilvl w:val="0"/>
          <w:numId w:val="5"/>
        </w:numPr>
        <w:ind w:left="426"/>
        <w:rPr>
          <w:rFonts w:cs="Arial"/>
          <w:sz w:val="20"/>
          <w:szCs w:val="20"/>
        </w:rPr>
      </w:pPr>
      <w:r w:rsidRPr="5E564042">
        <w:rPr>
          <w:rFonts w:cs="Arial"/>
          <w:sz w:val="20"/>
          <w:szCs w:val="20"/>
        </w:rPr>
        <w:t>A</w:t>
      </w:r>
      <w:r w:rsidR="002F2FE6" w:rsidRPr="5E564042">
        <w:rPr>
          <w:rFonts w:cs="Arial"/>
          <w:sz w:val="20"/>
          <w:szCs w:val="20"/>
        </w:rPr>
        <w:t>rrowhead Parade Estate</w:t>
      </w:r>
    </w:p>
    <w:p w14:paraId="00717FA4" w14:textId="4FF4616D"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Mercer Place Estate</w:t>
      </w:r>
    </w:p>
    <w:p w14:paraId="1D3A687C" w14:textId="6D4A7487"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Anmer Estate</w:t>
      </w:r>
    </w:p>
    <w:p w14:paraId="64C70F79" w14:textId="5C654864"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Edgware Golf Course Estate</w:t>
      </w:r>
    </w:p>
    <w:p w14:paraId="43A983AA" w14:textId="34970D27"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Oxhey Lane Estate</w:t>
      </w:r>
    </w:p>
    <w:p w14:paraId="592CE5BA" w14:textId="21E06F6E"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Canon Croft Estate</w:t>
      </w:r>
    </w:p>
    <w:p w14:paraId="2A75E9A9" w14:textId="3A1F95C5"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Anthoneys Estate</w:t>
      </w:r>
    </w:p>
    <w:p w14:paraId="0891D11D" w14:textId="68C172FE"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Belmont Lodge Estate</w:t>
      </w:r>
    </w:p>
    <w:p w14:paraId="5D0FFB68" w14:textId="60655E9A"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Belmont Circle Estate</w:t>
      </w:r>
    </w:p>
    <w:p w14:paraId="492CB59F" w14:textId="2BEB1C1A"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Byron Road Estate</w:t>
      </w:r>
    </w:p>
    <w:p w14:paraId="534083BB" w14:textId="75A1E955"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Canons Park Estate</w:t>
      </w:r>
    </w:p>
    <w:p w14:paraId="6D0A7725" w14:textId="5F81648D"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Christchurch Avenue Estate</w:t>
      </w:r>
    </w:p>
    <w:p w14:paraId="4589BAF4" w14:textId="01FB6D09"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Churchill Place Estate</w:t>
      </w:r>
    </w:p>
    <w:p w14:paraId="4FD60DDD" w14:textId="2592B6C2"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Chigwellhurst Estate</w:t>
      </w:r>
    </w:p>
    <w:p w14:paraId="61DEAE5A" w14:textId="0879E4B5"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Dennis Lane Estate</w:t>
      </w:r>
    </w:p>
    <w:p w14:paraId="36D38F15" w14:textId="4747AF06"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Cullington Close Estate</w:t>
      </w:r>
    </w:p>
    <w:p w14:paraId="6D24F10B" w14:textId="241246A8"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George V Close Estate</w:t>
      </w:r>
    </w:p>
    <w:p w14:paraId="3D4019B9" w14:textId="6C2D6DD3"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Elmgrove Estate</w:t>
      </w:r>
    </w:p>
    <w:p w14:paraId="5F27A93E" w14:textId="25DB2CD8" w:rsidR="002F2FE6" w:rsidRPr="00436661" w:rsidRDefault="002F2FE6" w:rsidP="003F2EA3">
      <w:pPr>
        <w:pStyle w:val="ListParagraph"/>
        <w:numPr>
          <w:ilvl w:val="0"/>
          <w:numId w:val="5"/>
        </w:numPr>
        <w:ind w:left="426" w:right="-386" w:hanging="283"/>
        <w:rPr>
          <w:rFonts w:cs="Arial"/>
          <w:sz w:val="20"/>
          <w:szCs w:val="20"/>
        </w:rPr>
      </w:pPr>
      <w:r w:rsidRPr="5E564042">
        <w:rPr>
          <w:rFonts w:cs="Arial"/>
          <w:sz w:val="20"/>
          <w:szCs w:val="20"/>
        </w:rPr>
        <w:t>Grove Estate</w:t>
      </w:r>
    </w:p>
    <w:p w14:paraId="0F94A3F7" w14:textId="43B7FB84"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Harrow View Estate</w:t>
      </w:r>
    </w:p>
    <w:p w14:paraId="5462F88C" w14:textId="0D178083" w:rsidR="002F2FE6" w:rsidRPr="00436661" w:rsidRDefault="00DD5444" w:rsidP="003F2EA3">
      <w:pPr>
        <w:pStyle w:val="ListParagraph"/>
        <w:numPr>
          <w:ilvl w:val="0"/>
          <w:numId w:val="5"/>
        </w:numPr>
        <w:ind w:left="426"/>
        <w:rPr>
          <w:rFonts w:cs="Arial"/>
          <w:sz w:val="20"/>
          <w:szCs w:val="20"/>
        </w:rPr>
      </w:pPr>
      <w:r w:rsidRPr="5E564042">
        <w:rPr>
          <w:rFonts w:cs="Arial"/>
          <w:sz w:val="20"/>
          <w:szCs w:val="20"/>
        </w:rPr>
        <w:t>H</w:t>
      </w:r>
      <w:r w:rsidR="002F2FE6" w:rsidRPr="5E564042">
        <w:rPr>
          <w:rFonts w:cs="Arial"/>
          <w:sz w:val="20"/>
          <w:szCs w:val="20"/>
        </w:rPr>
        <w:t>arrow Weald Park Estate</w:t>
      </w:r>
    </w:p>
    <w:p w14:paraId="69DBA7F6" w14:textId="77777777" w:rsidR="00DD5444" w:rsidRPr="00436661" w:rsidRDefault="002F2FE6" w:rsidP="003F2EA3">
      <w:pPr>
        <w:pStyle w:val="ListParagraph"/>
        <w:numPr>
          <w:ilvl w:val="0"/>
          <w:numId w:val="5"/>
        </w:numPr>
        <w:ind w:left="426"/>
        <w:rPr>
          <w:rFonts w:cs="Arial"/>
          <w:sz w:val="20"/>
          <w:szCs w:val="20"/>
        </w:rPr>
      </w:pPr>
      <w:r w:rsidRPr="5E564042">
        <w:rPr>
          <w:rFonts w:cs="Arial"/>
          <w:sz w:val="20"/>
          <w:szCs w:val="20"/>
        </w:rPr>
        <w:t>Headstone Lane Estate</w:t>
      </w:r>
    </w:p>
    <w:p w14:paraId="37C6E907" w14:textId="77777777" w:rsidR="00DD5444" w:rsidRPr="00436661" w:rsidRDefault="00DD5444" w:rsidP="003F2EA3">
      <w:pPr>
        <w:pStyle w:val="ListParagraph"/>
        <w:numPr>
          <w:ilvl w:val="0"/>
          <w:numId w:val="5"/>
        </w:numPr>
        <w:ind w:left="426"/>
        <w:rPr>
          <w:rFonts w:cs="Arial"/>
          <w:sz w:val="20"/>
          <w:szCs w:val="20"/>
        </w:rPr>
      </w:pPr>
      <w:r w:rsidRPr="5E564042">
        <w:rPr>
          <w:rFonts w:cs="Arial"/>
          <w:sz w:val="20"/>
          <w:szCs w:val="20"/>
        </w:rPr>
        <w:t>H</w:t>
      </w:r>
      <w:r w:rsidR="002F2FE6" w:rsidRPr="5E564042">
        <w:rPr>
          <w:rFonts w:cs="Arial"/>
          <w:sz w:val="20"/>
          <w:szCs w:val="20"/>
        </w:rPr>
        <w:t>igh Road Estate</w:t>
      </w:r>
    </w:p>
    <w:p w14:paraId="7431F40E" w14:textId="77777777" w:rsidR="00DD5444" w:rsidRPr="00436661" w:rsidRDefault="002F2FE6" w:rsidP="003F2EA3">
      <w:pPr>
        <w:pStyle w:val="ListParagraph"/>
        <w:numPr>
          <w:ilvl w:val="0"/>
          <w:numId w:val="5"/>
        </w:numPr>
        <w:ind w:left="426"/>
        <w:rPr>
          <w:rFonts w:cs="Arial"/>
          <w:sz w:val="20"/>
          <w:szCs w:val="20"/>
        </w:rPr>
      </w:pPr>
      <w:r w:rsidRPr="5E564042">
        <w:rPr>
          <w:rFonts w:cs="Arial"/>
          <w:sz w:val="20"/>
          <w:szCs w:val="20"/>
        </w:rPr>
        <w:t>Honister Place Estate</w:t>
      </w:r>
    </w:p>
    <w:p w14:paraId="3EC713C3" w14:textId="39BBC99A"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Kenmore Park Estate</w:t>
      </w:r>
    </w:p>
    <w:p w14:paraId="764DE30C" w14:textId="24CCAB38"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Kenton Lane Estate</w:t>
      </w:r>
    </w:p>
    <w:p w14:paraId="250C40F1" w14:textId="3841D193"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Kingsfield Estate</w:t>
      </w:r>
    </w:p>
    <w:p w14:paraId="62242182" w14:textId="7BF9A73A"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Little Common Estate</w:t>
      </w:r>
    </w:p>
    <w:p w14:paraId="1F266EC4" w14:textId="6606B26A"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Marsh Road Estate</w:t>
      </w:r>
    </w:p>
    <w:p w14:paraId="1CC62652" w14:textId="77777777" w:rsidR="00E75613" w:rsidRPr="00436661" w:rsidRDefault="002F2FE6" w:rsidP="003F2EA3">
      <w:pPr>
        <w:pStyle w:val="ListParagraph"/>
        <w:numPr>
          <w:ilvl w:val="0"/>
          <w:numId w:val="5"/>
        </w:numPr>
        <w:ind w:left="426"/>
        <w:rPr>
          <w:rFonts w:cs="Arial"/>
          <w:sz w:val="20"/>
          <w:szCs w:val="20"/>
        </w:rPr>
      </w:pPr>
      <w:r w:rsidRPr="5E564042">
        <w:rPr>
          <w:rFonts w:cs="Arial"/>
          <w:sz w:val="20"/>
          <w:szCs w:val="20"/>
        </w:rPr>
        <w:t>Mountside Estate</w:t>
      </w:r>
    </w:p>
    <w:p w14:paraId="310CE5FC" w14:textId="77777777" w:rsidR="00E75613" w:rsidRPr="00436661" w:rsidRDefault="002F2FE6" w:rsidP="003F2EA3">
      <w:pPr>
        <w:pStyle w:val="ListParagraph"/>
        <w:numPr>
          <w:ilvl w:val="0"/>
          <w:numId w:val="5"/>
        </w:numPr>
        <w:ind w:left="426"/>
        <w:rPr>
          <w:rFonts w:cs="Arial"/>
          <w:sz w:val="20"/>
          <w:szCs w:val="20"/>
        </w:rPr>
      </w:pPr>
      <w:r w:rsidRPr="5E564042">
        <w:rPr>
          <w:rFonts w:cs="Arial"/>
          <w:sz w:val="20"/>
          <w:szCs w:val="20"/>
        </w:rPr>
        <w:t>Pinner Hill Estate</w:t>
      </w:r>
    </w:p>
    <w:p w14:paraId="41391B98" w14:textId="1CBA459A"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Pinner Road (301) Estate</w:t>
      </w:r>
    </w:p>
    <w:p w14:paraId="46E45BE7" w14:textId="41F23AF0"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Wealdstone House Estate</w:t>
      </w:r>
    </w:p>
    <w:p w14:paraId="41A683E9" w14:textId="04CBE4C1"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West End Lane Estate</w:t>
      </w:r>
    </w:p>
    <w:p w14:paraId="2C1F5710" w14:textId="1D13723E"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Wolverton Road Estate</w:t>
      </w:r>
    </w:p>
    <w:p w14:paraId="495BDD59" w14:textId="0E127BDC"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Headstone (GLC) Estate</w:t>
      </w:r>
    </w:p>
    <w:p w14:paraId="0A2B402A" w14:textId="1FC8497C"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Glebe Estate</w:t>
      </w:r>
    </w:p>
    <w:p w14:paraId="38494B53" w14:textId="61B7E739"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Manor House Estate</w:t>
      </w:r>
    </w:p>
    <w:p w14:paraId="6EDB6E3D" w14:textId="672E52FE"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Mill Farm Close Estate</w:t>
      </w:r>
    </w:p>
    <w:p w14:paraId="7321181D" w14:textId="7732B994"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Moat Drive Estate</w:t>
      </w:r>
    </w:p>
    <w:p w14:paraId="57A6F769" w14:textId="700664C3"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Parkfield Estate</w:t>
      </w:r>
    </w:p>
    <w:p w14:paraId="3B6E601F" w14:textId="405492BD"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Pinner Green Estate</w:t>
      </w:r>
    </w:p>
    <w:p w14:paraId="146A4B19" w14:textId="078E26EB"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College Hill Road Estate</w:t>
      </w:r>
    </w:p>
    <w:p w14:paraId="4CCFBCA6" w14:textId="7377B912"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Towers Estate</w:t>
      </w:r>
    </w:p>
    <w:p w14:paraId="5884F97B" w14:textId="5303CE1D"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Weald Village Estate</w:t>
      </w:r>
    </w:p>
    <w:p w14:paraId="0063C0F9" w14:textId="54072200"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Wealdstone House Estate</w:t>
      </w:r>
    </w:p>
    <w:p w14:paraId="0DEEC968" w14:textId="30B03052"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Whittington Way Estate</w:t>
      </w:r>
    </w:p>
    <w:p w14:paraId="1CB1500F" w14:textId="723A76DA"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Woodlands Estate</w:t>
      </w:r>
    </w:p>
    <w:p w14:paraId="595916E9" w14:textId="47EE8AD2" w:rsidR="002F2FE6" w:rsidRPr="00436661" w:rsidRDefault="002F2FE6" w:rsidP="003F2EA3">
      <w:pPr>
        <w:pStyle w:val="ListParagraph"/>
        <w:numPr>
          <w:ilvl w:val="0"/>
          <w:numId w:val="5"/>
        </w:numPr>
        <w:ind w:left="426"/>
        <w:rPr>
          <w:rFonts w:cs="Arial"/>
          <w:sz w:val="20"/>
          <w:szCs w:val="20"/>
        </w:rPr>
      </w:pPr>
      <w:r w:rsidRPr="5E564042">
        <w:rPr>
          <w:rFonts w:cs="Arial"/>
          <w:sz w:val="20"/>
          <w:szCs w:val="20"/>
        </w:rPr>
        <w:t>Woodlands Drive Estate</w:t>
      </w:r>
    </w:p>
    <w:p w14:paraId="357B4D7B" w14:textId="25507D6C" w:rsidR="00787A42" w:rsidRPr="00436661" w:rsidRDefault="002F2FE6" w:rsidP="003F2EA3">
      <w:pPr>
        <w:pStyle w:val="ListParagraph"/>
        <w:numPr>
          <w:ilvl w:val="0"/>
          <w:numId w:val="5"/>
        </w:numPr>
        <w:ind w:left="426"/>
        <w:rPr>
          <w:rFonts w:cs="Arial"/>
          <w:sz w:val="20"/>
          <w:szCs w:val="20"/>
        </w:rPr>
        <w:sectPr w:rsidR="00787A42" w:rsidRPr="00436661" w:rsidSect="00E75613">
          <w:type w:val="continuous"/>
          <w:pgSz w:w="11906" w:h="16838"/>
          <w:pgMar w:top="720" w:right="720" w:bottom="720" w:left="720" w:header="708" w:footer="708" w:gutter="0"/>
          <w:cols w:num="3" w:space="125"/>
          <w:docGrid w:linePitch="360"/>
        </w:sectPr>
      </w:pPr>
      <w:r w:rsidRPr="5E564042">
        <w:rPr>
          <w:rFonts w:cs="Arial"/>
          <w:sz w:val="20"/>
          <w:szCs w:val="20"/>
        </w:rPr>
        <w:t>Cottesmore Estat</w:t>
      </w:r>
      <w:r w:rsidR="00E75613" w:rsidRPr="5E564042">
        <w:rPr>
          <w:rFonts w:cs="Arial"/>
          <w:sz w:val="20"/>
          <w:szCs w:val="20"/>
        </w:rPr>
        <w:t>e</w:t>
      </w:r>
    </w:p>
    <w:p w14:paraId="52C38C03" w14:textId="32DF26E8" w:rsidR="006C61B4" w:rsidRPr="00436661" w:rsidRDefault="006C61B4" w:rsidP="00436661">
      <w:pPr>
        <w:jc w:val="both"/>
        <w:rPr>
          <w:rFonts w:cs="Arial"/>
          <w:sz w:val="20"/>
        </w:rPr>
      </w:pPr>
    </w:p>
    <w:sectPr w:rsidR="006C61B4" w:rsidRPr="00436661" w:rsidSect="000656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9CFA" w14:textId="77777777" w:rsidR="004B571C" w:rsidRDefault="004B571C" w:rsidP="00730AC9">
      <w:r>
        <w:separator/>
      </w:r>
    </w:p>
  </w:endnote>
  <w:endnote w:type="continuationSeparator" w:id="0">
    <w:p w14:paraId="6C540FA5" w14:textId="77777777" w:rsidR="004B571C" w:rsidRDefault="004B571C" w:rsidP="00730AC9">
      <w:r>
        <w:continuationSeparator/>
      </w:r>
    </w:p>
  </w:endnote>
  <w:endnote w:type="continuationNotice" w:id="1">
    <w:p w14:paraId="5ED1DDA2" w14:textId="77777777" w:rsidR="004B571C" w:rsidRDefault="004B5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9E57" w14:textId="77777777" w:rsidR="00730AC9" w:rsidRDefault="00730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0035" w14:textId="77777777" w:rsidR="00730AC9" w:rsidRDefault="00730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54B0" w14:textId="77777777" w:rsidR="00730AC9" w:rsidRDefault="00730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982E" w14:textId="77777777" w:rsidR="004B571C" w:rsidRDefault="004B571C" w:rsidP="00730AC9">
      <w:r>
        <w:separator/>
      </w:r>
    </w:p>
  </w:footnote>
  <w:footnote w:type="continuationSeparator" w:id="0">
    <w:p w14:paraId="4BF9EE53" w14:textId="77777777" w:rsidR="004B571C" w:rsidRDefault="004B571C" w:rsidP="00730AC9">
      <w:r>
        <w:continuationSeparator/>
      </w:r>
    </w:p>
  </w:footnote>
  <w:footnote w:type="continuationNotice" w:id="1">
    <w:p w14:paraId="723E640A" w14:textId="77777777" w:rsidR="004B571C" w:rsidRDefault="004B5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B8D2" w14:textId="77777777" w:rsidR="00730AC9" w:rsidRDefault="00730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EAB4" w14:textId="2B4BEA24" w:rsidR="00730AC9" w:rsidRDefault="00730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901E" w14:textId="77777777" w:rsidR="00730AC9" w:rsidRDefault="00730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B16"/>
    <w:multiLevelType w:val="hybridMultilevel"/>
    <w:tmpl w:val="AADA0EA0"/>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1CC1442"/>
    <w:multiLevelType w:val="hybridMultilevel"/>
    <w:tmpl w:val="9DC28BA0"/>
    <w:lvl w:ilvl="0" w:tplc="0D5E0CEA">
      <w:start w:val="1"/>
      <w:numFmt w:val="lowerLetter"/>
      <w:lvlText w:val="%1."/>
      <w:lvlJc w:val="left"/>
      <w:pPr>
        <w:ind w:left="720" w:hanging="360"/>
      </w:pPr>
    </w:lvl>
    <w:lvl w:ilvl="1" w:tplc="CEFAC9D8">
      <w:start w:val="1"/>
      <w:numFmt w:val="lowerLetter"/>
      <w:lvlText w:val="%2."/>
      <w:lvlJc w:val="left"/>
      <w:pPr>
        <w:ind w:left="720" w:hanging="360"/>
      </w:pPr>
    </w:lvl>
    <w:lvl w:ilvl="2" w:tplc="1A5A41FA">
      <w:start w:val="1"/>
      <w:numFmt w:val="lowerLetter"/>
      <w:lvlText w:val="%3."/>
      <w:lvlJc w:val="left"/>
      <w:pPr>
        <w:ind w:left="720" w:hanging="360"/>
      </w:pPr>
    </w:lvl>
    <w:lvl w:ilvl="3" w:tplc="722A40E6">
      <w:start w:val="1"/>
      <w:numFmt w:val="lowerLetter"/>
      <w:lvlText w:val="%4."/>
      <w:lvlJc w:val="left"/>
      <w:pPr>
        <w:ind w:left="720" w:hanging="360"/>
      </w:pPr>
    </w:lvl>
    <w:lvl w:ilvl="4" w:tplc="24423E54">
      <w:start w:val="1"/>
      <w:numFmt w:val="lowerLetter"/>
      <w:lvlText w:val="%5."/>
      <w:lvlJc w:val="left"/>
      <w:pPr>
        <w:ind w:left="720" w:hanging="360"/>
      </w:pPr>
    </w:lvl>
    <w:lvl w:ilvl="5" w:tplc="83CA5A52">
      <w:start w:val="1"/>
      <w:numFmt w:val="lowerLetter"/>
      <w:lvlText w:val="%6."/>
      <w:lvlJc w:val="left"/>
      <w:pPr>
        <w:ind w:left="720" w:hanging="360"/>
      </w:pPr>
    </w:lvl>
    <w:lvl w:ilvl="6" w:tplc="68260578">
      <w:start w:val="1"/>
      <w:numFmt w:val="lowerLetter"/>
      <w:lvlText w:val="%7."/>
      <w:lvlJc w:val="left"/>
      <w:pPr>
        <w:ind w:left="720" w:hanging="360"/>
      </w:pPr>
    </w:lvl>
    <w:lvl w:ilvl="7" w:tplc="2B049CF8">
      <w:start w:val="1"/>
      <w:numFmt w:val="lowerLetter"/>
      <w:lvlText w:val="%8."/>
      <w:lvlJc w:val="left"/>
      <w:pPr>
        <w:ind w:left="720" w:hanging="360"/>
      </w:pPr>
    </w:lvl>
    <w:lvl w:ilvl="8" w:tplc="725E0434">
      <w:start w:val="1"/>
      <w:numFmt w:val="lowerLetter"/>
      <w:lvlText w:val="%9."/>
      <w:lvlJc w:val="left"/>
      <w:pPr>
        <w:ind w:left="720" w:hanging="360"/>
      </w:pPr>
    </w:lvl>
  </w:abstractNum>
  <w:abstractNum w:abstractNumId="2" w15:restartNumberingAfterBreak="0">
    <w:nsid w:val="10716B19"/>
    <w:multiLevelType w:val="hybridMultilevel"/>
    <w:tmpl w:val="AB824010"/>
    <w:lvl w:ilvl="0" w:tplc="7AFA5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C21CE8"/>
    <w:multiLevelType w:val="hybridMultilevel"/>
    <w:tmpl w:val="95FA2F8C"/>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38E582C"/>
    <w:multiLevelType w:val="hybridMultilevel"/>
    <w:tmpl w:val="18D042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B685D"/>
    <w:multiLevelType w:val="hybridMultilevel"/>
    <w:tmpl w:val="23248AE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9016FE7"/>
    <w:multiLevelType w:val="multilevel"/>
    <w:tmpl w:val="5B5A07C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233EFF"/>
    <w:multiLevelType w:val="hybridMultilevel"/>
    <w:tmpl w:val="1444B2FC"/>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3D97D64"/>
    <w:multiLevelType w:val="hybridMultilevel"/>
    <w:tmpl w:val="8C4471CE"/>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03A4AF0"/>
    <w:multiLevelType w:val="hybridMultilevel"/>
    <w:tmpl w:val="9410D1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64951"/>
    <w:multiLevelType w:val="multilevel"/>
    <w:tmpl w:val="DBB8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F46EA1"/>
    <w:multiLevelType w:val="multilevel"/>
    <w:tmpl w:val="B1F8F4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FB3327"/>
    <w:multiLevelType w:val="hybridMultilevel"/>
    <w:tmpl w:val="1B306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012B4D"/>
    <w:multiLevelType w:val="hybridMultilevel"/>
    <w:tmpl w:val="D8E2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A71AF"/>
    <w:multiLevelType w:val="hybridMultilevel"/>
    <w:tmpl w:val="5260C824"/>
    <w:lvl w:ilvl="0" w:tplc="93547F3E">
      <w:numFmt w:val="bullet"/>
      <w:lvlText w:val=""/>
      <w:lvlJc w:val="left"/>
      <w:pPr>
        <w:ind w:left="1080" w:hanging="360"/>
      </w:pPr>
      <w:rPr>
        <w:rFonts w:ascii="Symbol" w:eastAsia="Times"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50EE9"/>
    <w:multiLevelType w:val="hybridMultilevel"/>
    <w:tmpl w:val="4E1C1C80"/>
    <w:lvl w:ilvl="0" w:tplc="B8F03FC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7C27EC2"/>
    <w:multiLevelType w:val="hybridMultilevel"/>
    <w:tmpl w:val="534E6B8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E2E4AEE"/>
    <w:multiLevelType w:val="hybridMultilevel"/>
    <w:tmpl w:val="9820B182"/>
    <w:lvl w:ilvl="0" w:tplc="9AC8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3B3E10"/>
    <w:multiLevelType w:val="multilevel"/>
    <w:tmpl w:val="5D90C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644610"/>
    <w:multiLevelType w:val="hybridMultilevel"/>
    <w:tmpl w:val="534E6B82"/>
    <w:lvl w:ilvl="0" w:tplc="D4681A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1B222D1"/>
    <w:multiLevelType w:val="hybridMultilevel"/>
    <w:tmpl w:val="7270AEB6"/>
    <w:lvl w:ilvl="0" w:tplc="18A4BE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1E37C5B"/>
    <w:multiLevelType w:val="hybridMultilevel"/>
    <w:tmpl w:val="C3E0E008"/>
    <w:lvl w:ilvl="0" w:tplc="7DC0A89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64AE38C8"/>
    <w:multiLevelType w:val="hybridMultilevel"/>
    <w:tmpl w:val="0D2A6A42"/>
    <w:lvl w:ilvl="0" w:tplc="6C4AC8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6756271"/>
    <w:multiLevelType w:val="hybridMultilevel"/>
    <w:tmpl w:val="436837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3B2D2E"/>
    <w:multiLevelType w:val="hybridMultilevel"/>
    <w:tmpl w:val="1078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2E00E5"/>
    <w:multiLevelType w:val="hybridMultilevel"/>
    <w:tmpl w:val="E4D0C4C8"/>
    <w:lvl w:ilvl="0" w:tplc="DB0843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7DBC6FD3"/>
    <w:multiLevelType w:val="hybridMultilevel"/>
    <w:tmpl w:val="F454F9C0"/>
    <w:lvl w:ilvl="0" w:tplc="93547F3E">
      <w:numFmt w:val="bullet"/>
      <w:lvlText w:val=""/>
      <w:lvlJc w:val="left"/>
      <w:pPr>
        <w:ind w:left="1080" w:hanging="360"/>
      </w:pPr>
      <w:rPr>
        <w:rFonts w:ascii="Symbol" w:eastAsia="Times"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03901009">
    <w:abstractNumId w:val="13"/>
  </w:num>
  <w:num w:numId="2" w16cid:durableId="1274702644">
    <w:abstractNumId w:val="11"/>
  </w:num>
  <w:num w:numId="3" w16cid:durableId="293483604">
    <w:abstractNumId w:val="6"/>
  </w:num>
  <w:num w:numId="4" w16cid:durableId="1217231814">
    <w:abstractNumId w:val="26"/>
  </w:num>
  <w:num w:numId="5" w16cid:durableId="116609016">
    <w:abstractNumId w:val="14"/>
  </w:num>
  <w:num w:numId="6" w16cid:durableId="1390881067">
    <w:abstractNumId w:val="5"/>
  </w:num>
  <w:num w:numId="7" w16cid:durableId="256909474">
    <w:abstractNumId w:val="9"/>
  </w:num>
  <w:num w:numId="8" w16cid:durableId="148984140">
    <w:abstractNumId w:val="7"/>
  </w:num>
  <w:num w:numId="9" w16cid:durableId="718287483">
    <w:abstractNumId w:val="19"/>
  </w:num>
  <w:num w:numId="10" w16cid:durableId="1408108021">
    <w:abstractNumId w:val="12"/>
  </w:num>
  <w:num w:numId="11" w16cid:durableId="1103265603">
    <w:abstractNumId w:val="8"/>
  </w:num>
  <w:num w:numId="12" w16cid:durableId="1959099920">
    <w:abstractNumId w:val="16"/>
  </w:num>
  <w:num w:numId="13" w16cid:durableId="1220633230">
    <w:abstractNumId w:val="3"/>
  </w:num>
  <w:num w:numId="14" w16cid:durableId="1509322017">
    <w:abstractNumId w:val="0"/>
  </w:num>
  <w:num w:numId="15" w16cid:durableId="1230076795">
    <w:abstractNumId w:val="4"/>
  </w:num>
  <w:num w:numId="16" w16cid:durableId="1213469862">
    <w:abstractNumId w:val="18"/>
  </w:num>
  <w:num w:numId="17" w16cid:durableId="821698130">
    <w:abstractNumId w:val="10"/>
  </w:num>
  <w:num w:numId="18" w16cid:durableId="1771926643">
    <w:abstractNumId w:val="17"/>
  </w:num>
  <w:num w:numId="19" w16cid:durableId="752898920">
    <w:abstractNumId w:val="24"/>
  </w:num>
  <w:num w:numId="20" w16cid:durableId="499393978">
    <w:abstractNumId w:val="2"/>
  </w:num>
  <w:num w:numId="21" w16cid:durableId="1932616813">
    <w:abstractNumId w:val="25"/>
  </w:num>
  <w:num w:numId="22" w16cid:durableId="868493559">
    <w:abstractNumId w:val="22"/>
  </w:num>
  <w:num w:numId="23" w16cid:durableId="695082190">
    <w:abstractNumId w:val="21"/>
  </w:num>
  <w:num w:numId="24" w16cid:durableId="518205803">
    <w:abstractNumId w:val="20"/>
  </w:num>
  <w:num w:numId="25" w16cid:durableId="2118283837">
    <w:abstractNumId w:val="15"/>
  </w:num>
  <w:num w:numId="26" w16cid:durableId="1169634654">
    <w:abstractNumId w:val="1"/>
  </w:num>
  <w:num w:numId="27" w16cid:durableId="120536277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B2"/>
    <w:rsid w:val="00001320"/>
    <w:rsid w:val="000079FA"/>
    <w:rsid w:val="00007CDA"/>
    <w:rsid w:val="00012070"/>
    <w:rsid w:val="000121D7"/>
    <w:rsid w:val="0001458E"/>
    <w:rsid w:val="00015362"/>
    <w:rsid w:val="00025C9F"/>
    <w:rsid w:val="0003329C"/>
    <w:rsid w:val="00033529"/>
    <w:rsid w:val="00033AA1"/>
    <w:rsid w:val="00033AAA"/>
    <w:rsid w:val="00037E6A"/>
    <w:rsid w:val="00040108"/>
    <w:rsid w:val="000426B2"/>
    <w:rsid w:val="00046209"/>
    <w:rsid w:val="00050408"/>
    <w:rsid w:val="00056DCD"/>
    <w:rsid w:val="00057213"/>
    <w:rsid w:val="000605A4"/>
    <w:rsid w:val="0006238C"/>
    <w:rsid w:val="0006275D"/>
    <w:rsid w:val="00064012"/>
    <w:rsid w:val="00065640"/>
    <w:rsid w:val="00067F51"/>
    <w:rsid w:val="000723C5"/>
    <w:rsid w:val="0008121D"/>
    <w:rsid w:val="00086870"/>
    <w:rsid w:val="00097D55"/>
    <w:rsid w:val="000A4145"/>
    <w:rsid w:val="000B1012"/>
    <w:rsid w:val="000B64FF"/>
    <w:rsid w:val="000C3239"/>
    <w:rsid w:val="000C5023"/>
    <w:rsid w:val="000C586D"/>
    <w:rsid w:val="000C6339"/>
    <w:rsid w:val="000C73E7"/>
    <w:rsid w:val="000D0EC9"/>
    <w:rsid w:val="000D34A1"/>
    <w:rsid w:val="000D50B3"/>
    <w:rsid w:val="000D6437"/>
    <w:rsid w:val="000E1309"/>
    <w:rsid w:val="000E1EE5"/>
    <w:rsid w:val="000E2061"/>
    <w:rsid w:val="000E2B5C"/>
    <w:rsid w:val="000E5C5F"/>
    <w:rsid w:val="000E6364"/>
    <w:rsid w:val="000F0CE3"/>
    <w:rsid w:val="000F14BD"/>
    <w:rsid w:val="000F183B"/>
    <w:rsid w:val="000F2C40"/>
    <w:rsid w:val="000F3F80"/>
    <w:rsid w:val="00102E1C"/>
    <w:rsid w:val="00111983"/>
    <w:rsid w:val="00113D64"/>
    <w:rsid w:val="00123E66"/>
    <w:rsid w:val="00124E98"/>
    <w:rsid w:val="00125F29"/>
    <w:rsid w:val="00131132"/>
    <w:rsid w:val="0013177B"/>
    <w:rsid w:val="001330D9"/>
    <w:rsid w:val="001335EC"/>
    <w:rsid w:val="00135079"/>
    <w:rsid w:val="00135BB9"/>
    <w:rsid w:val="0013700D"/>
    <w:rsid w:val="00152D0A"/>
    <w:rsid w:val="00154392"/>
    <w:rsid w:val="00154DA3"/>
    <w:rsid w:val="00155BEF"/>
    <w:rsid w:val="00157D3A"/>
    <w:rsid w:val="001626D4"/>
    <w:rsid w:val="00162887"/>
    <w:rsid w:val="0016492F"/>
    <w:rsid w:val="0016538E"/>
    <w:rsid w:val="00170EB1"/>
    <w:rsid w:val="00175EC0"/>
    <w:rsid w:val="001908D0"/>
    <w:rsid w:val="00197540"/>
    <w:rsid w:val="001A0008"/>
    <w:rsid w:val="001A1B8C"/>
    <w:rsid w:val="001A1D1C"/>
    <w:rsid w:val="001A3166"/>
    <w:rsid w:val="001A3200"/>
    <w:rsid w:val="001A471A"/>
    <w:rsid w:val="001A5E64"/>
    <w:rsid w:val="001A7CE5"/>
    <w:rsid w:val="001B3715"/>
    <w:rsid w:val="001B40E6"/>
    <w:rsid w:val="001B6CE0"/>
    <w:rsid w:val="001C4C9D"/>
    <w:rsid w:val="001D019A"/>
    <w:rsid w:val="001D0F14"/>
    <w:rsid w:val="001D151B"/>
    <w:rsid w:val="001D2123"/>
    <w:rsid w:val="001D28E9"/>
    <w:rsid w:val="001D655B"/>
    <w:rsid w:val="001D66E7"/>
    <w:rsid w:val="001E00DA"/>
    <w:rsid w:val="001E0202"/>
    <w:rsid w:val="001E0C52"/>
    <w:rsid w:val="001E21BA"/>
    <w:rsid w:val="001E459C"/>
    <w:rsid w:val="001E4743"/>
    <w:rsid w:val="001E4E54"/>
    <w:rsid w:val="001F6178"/>
    <w:rsid w:val="001F6E75"/>
    <w:rsid w:val="001F7542"/>
    <w:rsid w:val="001F7BFA"/>
    <w:rsid w:val="00200916"/>
    <w:rsid w:val="00200EDA"/>
    <w:rsid w:val="0020107B"/>
    <w:rsid w:val="002041C5"/>
    <w:rsid w:val="00214854"/>
    <w:rsid w:val="002211DA"/>
    <w:rsid w:val="00224B75"/>
    <w:rsid w:val="0022697C"/>
    <w:rsid w:val="00227D7C"/>
    <w:rsid w:val="00230DDC"/>
    <w:rsid w:val="0023421C"/>
    <w:rsid w:val="00234644"/>
    <w:rsid w:val="002355C2"/>
    <w:rsid w:val="00245360"/>
    <w:rsid w:val="00245D2F"/>
    <w:rsid w:val="00246052"/>
    <w:rsid w:val="00246955"/>
    <w:rsid w:val="002478E0"/>
    <w:rsid w:val="002558DC"/>
    <w:rsid w:val="00257878"/>
    <w:rsid w:val="0026390D"/>
    <w:rsid w:val="00263B2C"/>
    <w:rsid w:val="00264710"/>
    <w:rsid w:val="002651F4"/>
    <w:rsid w:val="002657C8"/>
    <w:rsid w:val="002661CB"/>
    <w:rsid w:val="00267263"/>
    <w:rsid w:val="002735AA"/>
    <w:rsid w:val="0027484A"/>
    <w:rsid w:val="0028140A"/>
    <w:rsid w:val="00285875"/>
    <w:rsid w:val="00290418"/>
    <w:rsid w:val="002925A7"/>
    <w:rsid w:val="00297DDD"/>
    <w:rsid w:val="002A1BCF"/>
    <w:rsid w:val="002A1C5D"/>
    <w:rsid w:val="002A30F2"/>
    <w:rsid w:val="002A31AF"/>
    <w:rsid w:val="002A4E77"/>
    <w:rsid w:val="002B13AF"/>
    <w:rsid w:val="002B3809"/>
    <w:rsid w:val="002B6A0E"/>
    <w:rsid w:val="002B70B5"/>
    <w:rsid w:val="002B7F64"/>
    <w:rsid w:val="002C0CD9"/>
    <w:rsid w:val="002C1966"/>
    <w:rsid w:val="002C23E6"/>
    <w:rsid w:val="002C6683"/>
    <w:rsid w:val="002C6FEC"/>
    <w:rsid w:val="002D2F9B"/>
    <w:rsid w:val="002D47FC"/>
    <w:rsid w:val="002D582F"/>
    <w:rsid w:val="002D67B7"/>
    <w:rsid w:val="002E078B"/>
    <w:rsid w:val="002E0BDE"/>
    <w:rsid w:val="002E1BD4"/>
    <w:rsid w:val="002E37A2"/>
    <w:rsid w:val="002E47B2"/>
    <w:rsid w:val="002F2FE6"/>
    <w:rsid w:val="002F6B4B"/>
    <w:rsid w:val="002F6FE8"/>
    <w:rsid w:val="002F77BD"/>
    <w:rsid w:val="003012BD"/>
    <w:rsid w:val="0030546E"/>
    <w:rsid w:val="00305AEA"/>
    <w:rsid w:val="00313365"/>
    <w:rsid w:val="00315D91"/>
    <w:rsid w:val="00320933"/>
    <w:rsid w:val="00322523"/>
    <w:rsid w:val="003301CC"/>
    <w:rsid w:val="0033113F"/>
    <w:rsid w:val="003317A4"/>
    <w:rsid w:val="003352A2"/>
    <w:rsid w:val="003368C3"/>
    <w:rsid w:val="003375BB"/>
    <w:rsid w:val="00344325"/>
    <w:rsid w:val="00347666"/>
    <w:rsid w:val="00351207"/>
    <w:rsid w:val="003517B0"/>
    <w:rsid w:val="00351E7E"/>
    <w:rsid w:val="00352D5E"/>
    <w:rsid w:val="00354320"/>
    <w:rsid w:val="00355933"/>
    <w:rsid w:val="00356FB3"/>
    <w:rsid w:val="0035743D"/>
    <w:rsid w:val="0035779E"/>
    <w:rsid w:val="00364DFA"/>
    <w:rsid w:val="00376477"/>
    <w:rsid w:val="00380DC7"/>
    <w:rsid w:val="003819FD"/>
    <w:rsid w:val="0038282B"/>
    <w:rsid w:val="00382F35"/>
    <w:rsid w:val="0038303E"/>
    <w:rsid w:val="00385B93"/>
    <w:rsid w:val="00386694"/>
    <w:rsid w:val="00392589"/>
    <w:rsid w:val="003937A1"/>
    <w:rsid w:val="00395EB4"/>
    <w:rsid w:val="003A0C28"/>
    <w:rsid w:val="003B736C"/>
    <w:rsid w:val="003B7F88"/>
    <w:rsid w:val="003C06A7"/>
    <w:rsid w:val="003D0776"/>
    <w:rsid w:val="003D4FFC"/>
    <w:rsid w:val="003D5841"/>
    <w:rsid w:val="003E3F19"/>
    <w:rsid w:val="003E418B"/>
    <w:rsid w:val="003E434E"/>
    <w:rsid w:val="003E50C4"/>
    <w:rsid w:val="003E6A59"/>
    <w:rsid w:val="003E6D72"/>
    <w:rsid w:val="003F2EA3"/>
    <w:rsid w:val="003F614B"/>
    <w:rsid w:val="00401271"/>
    <w:rsid w:val="00403454"/>
    <w:rsid w:val="00406318"/>
    <w:rsid w:val="00411461"/>
    <w:rsid w:val="00411511"/>
    <w:rsid w:val="00411917"/>
    <w:rsid w:val="00415EED"/>
    <w:rsid w:val="00415F45"/>
    <w:rsid w:val="004175D2"/>
    <w:rsid w:val="004266B4"/>
    <w:rsid w:val="00427E41"/>
    <w:rsid w:val="00431FBF"/>
    <w:rsid w:val="00432CA5"/>
    <w:rsid w:val="00433D40"/>
    <w:rsid w:val="00434DBD"/>
    <w:rsid w:val="00436661"/>
    <w:rsid w:val="0043714E"/>
    <w:rsid w:val="00437C4F"/>
    <w:rsid w:val="00445507"/>
    <w:rsid w:val="00447986"/>
    <w:rsid w:val="00453FB9"/>
    <w:rsid w:val="00465590"/>
    <w:rsid w:val="00466683"/>
    <w:rsid w:val="00467558"/>
    <w:rsid w:val="00467B70"/>
    <w:rsid w:val="004707FF"/>
    <w:rsid w:val="00470ECF"/>
    <w:rsid w:val="00471349"/>
    <w:rsid w:val="0047213B"/>
    <w:rsid w:val="00472909"/>
    <w:rsid w:val="00483FE9"/>
    <w:rsid w:val="004848C1"/>
    <w:rsid w:val="00486006"/>
    <w:rsid w:val="00486214"/>
    <w:rsid w:val="00486C4C"/>
    <w:rsid w:val="00493982"/>
    <w:rsid w:val="004964DA"/>
    <w:rsid w:val="00496FAB"/>
    <w:rsid w:val="00497454"/>
    <w:rsid w:val="004A2BB9"/>
    <w:rsid w:val="004A429B"/>
    <w:rsid w:val="004A5940"/>
    <w:rsid w:val="004A5B03"/>
    <w:rsid w:val="004A74A7"/>
    <w:rsid w:val="004B36A6"/>
    <w:rsid w:val="004B571C"/>
    <w:rsid w:val="004B5E39"/>
    <w:rsid w:val="004B7961"/>
    <w:rsid w:val="004B7F46"/>
    <w:rsid w:val="004C18A7"/>
    <w:rsid w:val="004C3903"/>
    <w:rsid w:val="004C4D3B"/>
    <w:rsid w:val="004C56E6"/>
    <w:rsid w:val="004C72AB"/>
    <w:rsid w:val="004D1F52"/>
    <w:rsid w:val="004D2FE9"/>
    <w:rsid w:val="004D434C"/>
    <w:rsid w:val="004D62EE"/>
    <w:rsid w:val="004E0B64"/>
    <w:rsid w:val="004E6E01"/>
    <w:rsid w:val="004F0A56"/>
    <w:rsid w:val="004F3080"/>
    <w:rsid w:val="004F59A7"/>
    <w:rsid w:val="004F644A"/>
    <w:rsid w:val="004F6E26"/>
    <w:rsid w:val="00500EC7"/>
    <w:rsid w:val="00501CDB"/>
    <w:rsid w:val="00503FA9"/>
    <w:rsid w:val="00506FC5"/>
    <w:rsid w:val="0051223F"/>
    <w:rsid w:val="00514397"/>
    <w:rsid w:val="005145A5"/>
    <w:rsid w:val="005166CE"/>
    <w:rsid w:val="0052151D"/>
    <w:rsid w:val="00521D55"/>
    <w:rsid w:val="005223DF"/>
    <w:rsid w:val="0052346B"/>
    <w:rsid w:val="00524578"/>
    <w:rsid w:val="005276DC"/>
    <w:rsid w:val="0053088A"/>
    <w:rsid w:val="00541859"/>
    <w:rsid w:val="005433BD"/>
    <w:rsid w:val="00543DAA"/>
    <w:rsid w:val="00544C53"/>
    <w:rsid w:val="0054515B"/>
    <w:rsid w:val="00545DB6"/>
    <w:rsid w:val="00550D8F"/>
    <w:rsid w:val="00551C52"/>
    <w:rsid w:val="00552F9B"/>
    <w:rsid w:val="0055361F"/>
    <w:rsid w:val="005543EB"/>
    <w:rsid w:val="00554936"/>
    <w:rsid w:val="00556F22"/>
    <w:rsid w:val="005609D4"/>
    <w:rsid w:val="00561642"/>
    <w:rsid w:val="005663CF"/>
    <w:rsid w:val="00570067"/>
    <w:rsid w:val="005719B5"/>
    <w:rsid w:val="005730FA"/>
    <w:rsid w:val="00573142"/>
    <w:rsid w:val="00576853"/>
    <w:rsid w:val="00582AC7"/>
    <w:rsid w:val="00584346"/>
    <w:rsid w:val="00587E91"/>
    <w:rsid w:val="00591655"/>
    <w:rsid w:val="0059217F"/>
    <w:rsid w:val="00592BE1"/>
    <w:rsid w:val="005938A6"/>
    <w:rsid w:val="00593B44"/>
    <w:rsid w:val="005956F8"/>
    <w:rsid w:val="005A0D51"/>
    <w:rsid w:val="005A44F3"/>
    <w:rsid w:val="005B05D1"/>
    <w:rsid w:val="005B22EF"/>
    <w:rsid w:val="005B4002"/>
    <w:rsid w:val="005B4DAA"/>
    <w:rsid w:val="005B6F79"/>
    <w:rsid w:val="005B7242"/>
    <w:rsid w:val="005C1301"/>
    <w:rsid w:val="005C2524"/>
    <w:rsid w:val="005C2E11"/>
    <w:rsid w:val="005C3858"/>
    <w:rsid w:val="005C428E"/>
    <w:rsid w:val="005C4D7A"/>
    <w:rsid w:val="005C6440"/>
    <w:rsid w:val="005C6E1E"/>
    <w:rsid w:val="005C6EB9"/>
    <w:rsid w:val="005C7DE6"/>
    <w:rsid w:val="005D0AA5"/>
    <w:rsid w:val="005D27A3"/>
    <w:rsid w:val="005E0057"/>
    <w:rsid w:val="005E3679"/>
    <w:rsid w:val="005E4DD8"/>
    <w:rsid w:val="005E5B10"/>
    <w:rsid w:val="005E6E47"/>
    <w:rsid w:val="005E717E"/>
    <w:rsid w:val="005F5625"/>
    <w:rsid w:val="006009C0"/>
    <w:rsid w:val="00600BEF"/>
    <w:rsid w:val="00604FD7"/>
    <w:rsid w:val="006051C8"/>
    <w:rsid w:val="006055F1"/>
    <w:rsid w:val="0060565A"/>
    <w:rsid w:val="00606AEE"/>
    <w:rsid w:val="00612181"/>
    <w:rsid w:val="006142EB"/>
    <w:rsid w:val="00614B45"/>
    <w:rsid w:val="006171A3"/>
    <w:rsid w:val="00621AC7"/>
    <w:rsid w:val="00621C4E"/>
    <w:rsid w:val="00623832"/>
    <w:rsid w:val="006303EC"/>
    <w:rsid w:val="0063206B"/>
    <w:rsid w:val="00633598"/>
    <w:rsid w:val="00635159"/>
    <w:rsid w:val="00635905"/>
    <w:rsid w:val="00635EBD"/>
    <w:rsid w:val="0063685F"/>
    <w:rsid w:val="00640AC4"/>
    <w:rsid w:val="00641EF8"/>
    <w:rsid w:val="006427AF"/>
    <w:rsid w:val="00651235"/>
    <w:rsid w:val="00652611"/>
    <w:rsid w:val="00653372"/>
    <w:rsid w:val="006541BA"/>
    <w:rsid w:val="006545E3"/>
    <w:rsid w:val="00654E4D"/>
    <w:rsid w:val="00657F02"/>
    <w:rsid w:val="006621CC"/>
    <w:rsid w:val="0066220D"/>
    <w:rsid w:val="00664FE2"/>
    <w:rsid w:val="00665BAA"/>
    <w:rsid w:val="00670BA1"/>
    <w:rsid w:val="00672C3E"/>
    <w:rsid w:val="0067413F"/>
    <w:rsid w:val="00676E37"/>
    <w:rsid w:val="006824E0"/>
    <w:rsid w:val="00684672"/>
    <w:rsid w:val="006871BC"/>
    <w:rsid w:val="00692035"/>
    <w:rsid w:val="00693055"/>
    <w:rsid w:val="006971B6"/>
    <w:rsid w:val="006A05D2"/>
    <w:rsid w:val="006A06E4"/>
    <w:rsid w:val="006A1A9D"/>
    <w:rsid w:val="006B3DFD"/>
    <w:rsid w:val="006B57F8"/>
    <w:rsid w:val="006C60FA"/>
    <w:rsid w:val="006C61B4"/>
    <w:rsid w:val="006D344F"/>
    <w:rsid w:val="006E0984"/>
    <w:rsid w:val="006E5F3F"/>
    <w:rsid w:val="006F046B"/>
    <w:rsid w:val="006F070C"/>
    <w:rsid w:val="006F0AC6"/>
    <w:rsid w:val="006F0DDE"/>
    <w:rsid w:val="006F6589"/>
    <w:rsid w:val="00702812"/>
    <w:rsid w:val="00703B14"/>
    <w:rsid w:val="007059D6"/>
    <w:rsid w:val="00711B8D"/>
    <w:rsid w:val="00714697"/>
    <w:rsid w:val="00717C7D"/>
    <w:rsid w:val="00722C97"/>
    <w:rsid w:val="00730AC9"/>
    <w:rsid w:val="0073274F"/>
    <w:rsid w:val="00733BBB"/>
    <w:rsid w:val="00741FF4"/>
    <w:rsid w:val="00743A2C"/>
    <w:rsid w:val="0074573F"/>
    <w:rsid w:val="00745C6C"/>
    <w:rsid w:val="007475BE"/>
    <w:rsid w:val="007517D7"/>
    <w:rsid w:val="007539B4"/>
    <w:rsid w:val="007627E5"/>
    <w:rsid w:val="00763749"/>
    <w:rsid w:val="0076381F"/>
    <w:rsid w:val="00764133"/>
    <w:rsid w:val="00764C27"/>
    <w:rsid w:val="00772821"/>
    <w:rsid w:val="00774B88"/>
    <w:rsid w:val="007858CF"/>
    <w:rsid w:val="00787A42"/>
    <w:rsid w:val="00787C09"/>
    <w:rsid w:val="00790823"/>
    <w:rsid w:val="00790D63"/>
    <w:rsid w:val="00790F9B"/>
    <w:rsid w:val="007A23DA"/>
    <w:rsid w:val="007A266E"/>
    <w:rsid w:val="007A27B3"/>
    <w:rsid w:val="007A35F5"/>
    <w:rsid w:val="007A4A39"/>
    <w:rsid w:val="007A7333"/>
    <w:rsid w:val="007B21F9"/>
    <w:rsid w:val="007B75A4"/>
    <w:rsid w:val="007C216E"/>
    <w:rsid w:val="007C3F7D"/>
    <w:rsid w:val="007D2270"/>
    <w:rsid w:val="007D26E5"/>
    <w:rsid w:val="007D6A8D"/>
    <w:rsid w:val="007E3647"/>
    <w:rsid w:val="007E3CC2"/>
    <w:rsid w:val="007E49AE"/>
    <w:rsid w:val="007E5A75"/>
    <w:rsid w:val="007E6205"/>
    <w:rsid w:val="007E655C"/>
    <w:rsid w:val="007E7F5A"/>
    <w:rsid w:val="007F00C9"/>
    <w:rsid w:val="007F660D"/>
    <w:rsid w:val="007F6C47"/>
    <w:rsid w:val="00800AD7"/>
    <w:rsid w:val="0080434C"/>
    <w:rsid w:val="008051EE"/>
    <w:rsid w:val="0082110A"/>
    <w:rsid w:val="00823EE9"/>
    <w:rsid w:val="0082498C"/>
    <w:rsid w:val="0083079E"/>
    <w:rsid w:val="00834A28"/>
    <w:rsid w:val="0083734D"/>
    <w:rsid w:val="008428BA"/>
    <w:rsid w:val="00850379"/>
    <w:rsid w:val="0085076A"/>
    <w:rsid w:val="00851DB7"/>
    <w:rsid w:val="00852175"/>
    <w:rsid w:val="00854D15"/>
    <w:rsid w:val="00856DF0"/>
    <w:rsid w:val="00857CB0"/>
    <w:rsid w:val="00866E49"/>
    <w:rsid w:val="008704D5"/>
    <w:rsid w:val="0087296A"/>
    <w:rsid w:val="008749AE"/>
    <w:rsid w:val="00875371"/>
    <w:rsid w:val="008763D7"/>
    <w:rsid w:val="0087689F"/>
    <w:rsid w:val="00876DEF"/>
    <w:rsid w:val="00880E13"/>
    <w:rsid w:val="00884339"/>
    <w:rsid w:val="00884EF0"/>
    <w:rsid w:val="00887041"/>
    <w:rsid w:val="00892613"/>
    <w:rsid w:val="008939C1"/>
    <w:rsid w:val="00893F02"/>
    <w:rsid w:val="00897F5A"/>
    <w:rsid w:val="008A6104"/>
    <w:rsid w:val="008A726A"/>
    <w:rsid w:val="008A789C"/>
    <w:rsid w:val="008B2F46"/>
    <w:rsid w:val="008B429D"/>
    <w:rsid w:val="008B4742"/>
    <w:rsid w:val="008B48C8"/>
    <w:rsid w:val="008B623A"/>
    <w:rsid w:val="008C1FAC"/>
    <w:rsid w:val="008C7B38"/>
    <w:rsid w:val="008C7CB5"/>
    <w:rsid w:val="008D08BE"/>
    <w:rsid w:val="008D2670"/>
    <w:rsid w:val="008D2DBD"/>
    <w:rsid w:val="008D3CE1"/>
    <w:rsid w:val="008D3F9E"/>
    <w:rsid w:val="008D5231"/>
    <w:rsid w:val="008E0C74"/>
    <w:rsid w:val="008E2039"/>
    <w:rsid w:val="008E3158"/>
    <w:rsid w:val="008E3B03"/>
    <w:rsid w:val="008E6054"/>
    <w:rsid w:val="008E778A"/>
    <w:rsid w:val="008F1130"/>
    <w:rsid w:val="008F50D5"/>
    <w:rsid w:val="008F65D4"/>
    <w:rsid w:val="00902A08"/>
    <w:rsid w:val="00902B40"/>
    <w:rsid w:val="009075B2"/>
    <w:rsid w:val="0091328D"/>
    <w:rsid w:val="00913803"/>
    <w:rsid w:val="00916DC5"/>
    <w:rsid w:val="00917D72"/>
    <w:rsid w:val="0092082C"/>
    <w:rsid w:val="0092274C"/>
    <w:rsid w:val="00923797"/>
    <w:rsid w:val="009238FB"/>
    <w:rsid w:val="0093069C"/>
    <w:rsid w:val="00931BE0"/>
    <w:rsid w:val="009320AD"/>
    <w:rsid w:val="00932369"/>
    <w:rsid w:val="00932FAD"/>
    <w:rsid w:val="00932FDD"/>
    <w:rsid w:val="00937432"/>
    <w:rsid w:val="0094180B"/>
    <w:rsid w:val="00943F42"/>
    <w:rsid w:val="009442EF"/>
    <w:rsid w:val="00947DFE"/>
    <w:rsid w:val="00950E14"/>
    <w:rsid w:val="0095196E"/>
    <w:rsid w:val="0095477B"/>
    <w:rsid w:val="0096086B"/>
    <w:rsid w:val="00960EE3"/>
    <w:rsid w:val="00964329"/>
    <w:rsid w:val="00965BE5"/>
    <w:rsid w:val="00976AA2"/>
    <w:rsid w:val="009806EF"/>
    <w:rsid w:val="00981905"/>
    <w:rsid w:val="00981EB6"/>
    <w:rsid w:val="00983AC2"/>
    <w:rsid w:val="00983C9A"/>
    <w:rsid w:val="00985D9B"/>
    <w:rsid w:val="009865CA"/>
    <w:rsid w:val="00986719"/>
    <w:rsid w:val="00987AE7"/>
    <w:rsid w:val="0099007F"/>
    <w:rsid w:val="00991BC9"/>
    <w:rsid w:val="00992B45"/>
    <w:rsid w:val="00992C17"/>
    <w:rsid w:val="009933B7"/>
    <w:rsid w:val="009A5A49"/>
    <w:rsid w:val="009A71A1"/>
    <w:rsid w:val="009A72C2"/>
    <w:rsid w:val="009A7CD8"/>
    <w:rsid w:val="009B71FB"/>
    <w:rsid w:val="009C0B95"/>
    <w:rsid w:val="009D0476"/>
    <w:rsid w:val="009D59C3"/>
    <w:rsid w:val="009D6F49"/>
    <w:rsid w:val="009D7EF0"/>
    <w:rsid w:val="009E0043"/>
    <w:rsid w:val="009E4DFD"/>
    <w:rsid w:val="009E741D"/>
    <w:rsid w:val="009E78F1"/>
    <w:rsid w:val="009F456A"/>
    <w:rsid w:val="00A0441A"/>
    <w:rsid w:val="00A0447C"/>
    <w:rsid w:val="00A04A9B"/>
    <w:rsid w:val="00A06A89"/>
    <w:rsid w:val="00A06D4C"/>
    <w:rsid w:val="00A13EEC"/>
    <w:rsid w:val="00A166B6"/>
    <w:rsid w:val="00A20FE7"/>
    <w:rsid w:val="00A23E61"/>
    <w:rsid w:val="00A26AD0"/>
    <w:rsid w:val="00A275F0"/>
    <w:rsid w:val="00A27C9D"/>
    <w:rsid w:val="00A36055"/>
    <w:rsid w:val="00A44B9C"/>
    <w:rsid w:val="00A45ED5"/>
    <w:rsid w:val="00A50336"/>
    <w:rsid w:val="00A50751"/>
    <w:rsid w:val="00A512C0"/>
    <w:rsid w:val="00A54B8A"/>
    <w:rsid w:val="00A55ED4"/>
    <w:rsid w:val="00A56C5A"/>
    <w:rsid w:val="00A56D46"/>
    <w:rsid w:val="00A62179"/>
    <w:rsid w:val="00A63DDA"/>
    <w:rsid w:val="00A64D12"/>
    <w:rsid w:val="00A71C10"/>
    <w:rsid w:val="00A72CCD"/>
    <w:rsid w:val="00A75825"/>
    <w:rsid w:val="00A76840"/>
    <w:rsid w:val="00A76DC4"/>
    <w:rsid w:val="00A77281"/>
    <w:rsid w:val="00A80238"/>
    <w:rsid w:val="00A810EE"/>
    <w:rsid w:val="00A825E2"/>
    <w:rsid w:val="00A84607"/>
    <w:rsid w:val="00A85F97"/>
    <w:rsid w:val="00A85FE8"/>
    <w:rsid w:val="00A948FC"/>
    <w:rsid w:val="00AA1277"/>
    <w:rsid w:val="00AA229A"/>
    <w:rsid w:val="00AA2C4A"/>
    <w:rsid w:val="00AA4466"/>
    <w:rsid w:val="00AA5AB2"/>
    <w:rsid w:val="00AA7D98"/>
    <w:rsid w:val="00AB01AF"/>
    <w:rsid w:val="00AB1F8E"/>
    <w:rsid w:val="00AB27C6"/>
    <w:rsid w:val="00AB47B1"/>
    <w:rsid w:val="00AB6AC8"/>
    <w:rsid w:val="00AB6E94"/>
    <w:rsid w:val="00AC1848"/>
    <w:rsid w:val="00AC3113"/>
    <w:rsid w:val="00AC7986"/>
    <w:rsid w:val="00AD002E"/>
    <w:rsid w:val="00AD044B"/>
    <w:rsid w:val="00AD1301"/>
    <w:rsid w:val="00AD1685"/>
    <w:rsid w:val="00AD1ACB"/>
    <w:rsid w:val="00AD5E45"/>
    <w:rsid w:val="00AE0E59"/>
    <w:rsid w:val="00AE13F2"/>
    <w:rsid w:val="00AE626B"/>
    <w:rsid w:val="00AE6488"/>
    <w:rsid w:val="00AF31B0"/>
    <w:rsid w:val="00AF31C4"/>
    <w:rsid w:val="00AF3DAF"/>
    <w:rsid w:val="00AF57F0"/>
    <w:rsid w:val="00AF59F4"/>
    <w:rsid w:val="00AF6D87"/>
    <w:rsid w:val="00B004D4"/>
    <w:rsid w:val="00B0188D"/>
    <w:rsid w:val="00B01977"/>
    <w:rsid w:val="00B030E7"/>
    <w:rsid w:val="00B0660C"/>
    <w:rsid w:val="00B10150"/>
    <w:rsid w:val="00B213F9"/>
    <w:rsid w:val="00B22162"/>
    <w:rsid w:val="00B262FC"/>
    <w:rsid w:val="00B35816"/>
    <w:rsid w:val="00B36012"/>
    <w:rsid w:val="00B373F5"/>
    <w:rsid w:val="00B410B5"/>
    <w:rsid w:val="00B413FE"/>
    <w:rsid w:val="00B43F71"/>
    <w:rsid w:val="00B45714"/>
    <w:rsid w:val="00B461CA"/>
    <w:rsid w:val="00B46364"/>
    <w:rsid w:val="00B4707E"/>
    <w:rsid w:val="00B471D8"/>
    <w:rsid w:val="00B479F4"/>
    <w:rsid w:val="00B53BF4"/>
    <w:rsid w:val="00B567AA"/>
    <w:rsid w:val="00B6082C"/>
    <w:rsid w:val="00B6500E"/>
    <w:rsid w:val="00B65E12"/>
    <w:rsid w:val="00B70462"/>
    <w:rsid w:val="00B7403D"/>
    <w:rsid w:val="00B768FA"/>
    <w:rsid w:val="00B769B7"/>
    <w:rsid w:val="00B83EFC"/>
    <w:rsid w:val="00B85E4C"/>
    <w:rsid w:val="00B86713"/>
    <w:rsid w:val="00B93395"/>
    <w:rsid w:val="00B937C1"/>
    <w:rsid w:val="00B966BC"/>
    <w:rsid w:val="00B97100"/>
    <w:rsid w:val="00BA0F9E"/>
    <w:rsid w:val="00BA156C"/>
    <w:rsid w:val="00BA24DF"/>
    <w:rsid w:val="00BA4BC7"/>
    <w:rsid w:val="00BA7F3D"/>
    <w:rsid w:val="00BB5567"/>
    <w:rsid w:val="00BC0899"/>
    <w:rsid w:val="00BC1CB8"/>
    <w:rsid w:val="00BC30AB"/>
    <w:rsid w:val="00BC75B5"/>
    <w:rsid w:val="00BC7BEF"/>
    <w:rsid w:val="00BD00F2"/>
    <w:rsid w:val="00BD269A"/>
    <w:rsid w:val="00BD3371"/>
    <w:rsid w:val="00BD5274"/>
    <w:rsid w:val="00BD68F9"/>
    <w:rsid w:val="00BE11B8"/>
    <w:rsid w:val="00BE2DDD"/>
    <w:rsid w:val="00BE2E72"/>
    <w:rsid w:val="00BE5EDF"/>
    <w:rsid w:val="00BE5EEB"/>
    <w:rsid w:val="00BF581B"/>
    <w:rsid w:val="00C033D1"/>
    <w:rsid w:val="00C11668"/>
    <w:rsid w:val="00C146C3"/>
    <w:rsid w:val="00C14D60"/>
    <w:rsid w:val="00C24545"/>
    <w:rsid w:val="00C3087B"/>
    <w:rsid w:val="00C3233A"/>
    <w:rsid w:val="00C34AE7"/>
    <w:rsid w:val="00C350A2"/>
    <w:rsid w:val="00C353E1"/>
    <w:rsid w:val="00C3796E"/>
    <w:rsid w:val="00C4257C"/>
    <w:rsid w:val="00C4315C"/>
    <w:rsid w:val="00C458F2"/>
    <w:rsid w:val="00C50F43"/>
    <w:rsid w:val="00C519E0"/>
    <w:rsid w:val="00C51F7D"/>
    <w:rsid w:val="00C558D9"/>
    <w:rsid w:val="00C55CF3"/>
    <w:rsid w:val="00C57762"/>
    <w:rsid w:val="00C57AE1"/>
    <w:rsid w:val="00C57CFF"/>
    <w:rsid w:val="00C657A8"/>
    <w:rsid w:val="00C67C14"/>
    <w:rsid w:val="00C731D6"/>
    <w:rsid w:val="00C7701E"/>
    <w:rsid w:val="00C81794"/>
    <w:rsid w:val="00C8334B"/>
    <w:rsid w:val="00C85DC0"/>
    <w:rsid w:val="00C86F6B"/>
    <w:rsid w:val="00C92A0B"/>
    <w:rsid w:val="00CA0F7D"/>
    <w:rsid w:val="00CA14F1"/>
    <w:rsid w:val="00CA48E9"/>
    <w:rsid w:val="00CA5FBD"/>
    <w:rsid w:val="00CA6D7B"/>
    <w:rsid w:val="00CA6E91"/>
    <w:rsid w:val="00CB261D"/>
    <w:rsid w:val="00CB29B6"/>
    <w:rsid w:val="00CB2C24"/>
    <w:rsid w:val="00CB5172"/>
    <w:rsid w:val="00CB74BD"/>
    <w:rsid w:val="00CB76AF"/>
    <w:rsid w:val="00CB79E9"/>
    <w:rsid w:val="00CC0BC8"/>
    <w:rsid w:val="00CC10B9"/>
    <w:rsid w:val="00CC1571"/>
    <w:rsid w:val="00CC1683"/>
    <w:rsid w:val="00CC3723"/>
    <w:rsid w:val="00CC443C"/>
    <w:rsid w:val="00CC7873"/>
    <w:rsid w:val="00CD1CCB"/>
    <w:rsid w:val="00CD3A12"/>
    <w:rsid w:val="00CD5B51"/>
    <w:rsid w:val="00CE30E6"/>
    <w:rsid w:val="00CE37CA"/>
    <w:rsid w:val="00CE5CCE"/>
    <w:rsid w:val="00CF0A4E"/>
    <w:rsid w:val="00CF7AC8"/>
    <w:rsid w:val="00D01993"/>
    <w:rsid w:val="00D01CF2"/>
    <w:rsid w:val="00D034FE"/>
    <w:rsid w:val="00D04782"/>
    <w:rsid w:val="00D05E4F"/>
    <w:rsid w:val="00D06703"/>
    <w:rsid w:val="00D06752"/>
    <w:rsid w:val="00D14ECC"/>
    <w:rsid w:val="00D15DE9"/>
    <w:rsid w:val="00D20578"/>
    <w:rsid w:val="00D21ABE"/>
    <w:rsid w:val="00D226C7"/>
    <w:rsid w:val="00D25095"/>
    <w:rsid w:val="00D270D8"/>
    <w:rsid w:val="00D3170C"/>
    <w:rsid w:val="00D34F50"/>
    <w:rsid w:val="00D4407C"/>
    <w:rsid w:val="00D5156C"/>
    <w:rsid w:val="00D5304D"/>
    <w:rsid w:val="00D57660"/>
    <w:rsid w:val="00D66167"/>
    <w:rsid w:val="00D71F30"/>
    <w:rsid w:val="00D750DC"/>
    <w:rsid w:val="00D82B23"/>
    <w:rsid w:val="00D8565F"/>
    <w:rsid w:val="00D85FD2"/>
    <w:rsid w:val="00D87A51"/>
    <w:rsid w:val="00D87AC3"/>
    <w:rsid w:val="00D87E07"/>
    <w:rsid w:val="00D907F6"/>
    <w:rsid w:val="00D9422E"/>
    <w:rsid w:val="00DA0765"/>
    <w:rsid w:val="00DA1842"/>
    <w:rsid w:val="00DA5A92"/>
    <w:rsid w:val="00DA5F89"/>
    <w:rsid w:val="00DB055E"/>
    <w:rsid w:val="00DB2DEC"/>
    <w:rsid w:val="00DB6C26"/>
    <w:rsid w:val="00DB7FB2"/>
    <w:rsid w:val="00DC0B28"/>
    <w:rsid w:val="00DC0E8C"/>
    <w:rsid w:val="00DC1999"/>
    <w:rsid w:val="00DC1E16"/>
    <w:rsid w:val="00DC1F5E"/>
    <w:rsid w:val="00DC36F6"/>
    <w:rsid w:val="00DC4ED4"/>
    <w:rsid w:val="00DD4CA5"/>
    <w:rsid w:val="00DD5444"/>
    <w:rsid w:val="00DD5A1F"/>
    <w:rsid w:val="00DD5B79"/>
    <w:rsid w:val="00DD6B1C"/>
    <w:rsid w:val="00DE6E17"/>
    <w:rsid w:val="00DF4409"/>
    <w:rsid w:val="00DF474D"/>
    <w:rsid w:val="00E0150A"/>
    <w:rsid w:val="00E0236B"/>
    <w:rsid w:val="00E025A5"/>
    <w:rsid w:val="00E05446"/>
    <w:rsid w:val="00E13A43"/>
    <w:rsid w:val="00E14E99"/>
    <w:rsid w:val="00E20006"/>
    <w:rsid w:val="00E20838"/>
    <w:rsid w:val="00E21717"/>
    <w:rsid w:val="00E21F2F"/>
    <w:rsid w:val="00E221B2"/>
    <w:rsid w:val="00E23B10"/>
    <w:rsid w:val="00E323D1"/>
    <w:rsid w:val="00E32BC0"/>
    <w:rsid w:val="00E3317F"/>
    <w:rsid w:val="00E347A7"/>
    <w:rsid w:val="00E36E3E"/>
    <w:rsid w:val="00E36E56"/>
    <w:rsid w:val="00E429D5"/>
    <w:rsid w:val="00E44942"/>
    <w:rsid w:val="00E4670E"/>
    <w:rsid w:val="00E469A7"/>
    <w:rsid w:val="00E46A97"/>
    <w:rsid w:val="00E47313"/>
    <w:rsid w:val="00E50307"/>
    <w:rsid w:val="00E50C2A"/>
    <w:rsid w:val="00E518C5"/>
    <w:rsid w:val="00E5222D"/>
    <w:rsid w:val="00E52690"/>
    <w:rsid w:val="00E55D92"/>
    <w:rsid w:val="00E56AA8"/>
    <w:rsid w:val="00E574B4"/>
    <w:rsid w:val="00E63C78"/>
    <w:rsid w:val="00E6489F"/>
    <w:rsid w:val="00E6491B"/>
    <w:rsid w:val="00E65487"/>
    <w:rsid w:val="00E733E5"/>
    <w:rsid w:val="00E75613"/>
    <w:rsid w:val="00E769E1"/>
    <w:rsid w:val="00E8480F"/>
    <w:rsid w:val="00E957FA"/>
    <w:rsid w:val="00E9666B"/>
    <w:rsid w:val="00E9688D"/>
    <w:rsid w:val="00E96D73"/>
    <w:rsid w:val="00EA0CD8"/>
    <w:rsid w:val="00EA124A"/>
    <w:rsid w:val="00EA1459"/>
    <w:rsid w:val="00EA1D22"/>
    <w:rsid w:val="00EA4FED"/>
    <w:rsid w:val="00EA6024"/>
    <w:rsid w:val="00EB0608"/>
    <w:rsid w:val="00EB197D"/>
    <w:rsid w:val="00EB1A4D"/>
    <w:rsid w:val="00EB571B"/>
    <w:rsid w:val="00EC1B10"/>
    <w:rsid w:val="00EC2A86"/>
    <w:rsid w:val="00EC2E5D"/>
    <w:rsid w:val="00EC307B"/>
    <w:rsid w:val="00EC4DAB"/>
    <w:rsid w:val="00EC5129"/>
    <w:rsid w:val="00ED1219"/>
    <w:rsid w:val="00ED2392"/>
    <w:rsid w:val="00ED61E4"/>
    <w:rsid w:val="00EE0DCA"/>
    <w:rsid w:val="00EE536F"/>
    <w:rsid w:val="00EE7DE2"/>
    <w:rsid w:val="00EF4B07"/>
    <w:rsid w:val="00EF50B5"/>
    <w:rsid w:val="00EF6333"/>
    <w:rsid w:val="00EF754B"/>
    <w:rsid w:val="00EF7E23"/>
    <w:rsid w:val="00F06E3D"/>
    <w:rsid w:val="00F11634"/>
    <w:rsid w:val="00F120F8"/>
    <w:rsid w:val="00F17A1D"/>
    <w:rsid w:val="00F17BF4"/>
    <w:rsid w:val="00F2209F"/>
    <w:rsid w:val="00F26665"/>
    <w:rsid w:val="00F3094D"/>
    <w:rsid w:val="00F429AE"/>
    <w:rsid w:val="00F42A2D"/>
    <w:rsid w:val="00F45EFA"/>
    <w:rsid w:val="00F4677D"/>
    <w:rsid w:val="00F50AC6"/>
    <w:rsid w:val="00F53F58"/>
    <w:rsid w:val="00F54461"/>
    <w:rsid w:val="00F54B45"/>
    <w:rsid w:val="00F550A6"/>
    <w:rsid w:val="00F5568A"/>
    <w:rsid w:val="00F56C3B"/>
    <w:rsid w:val="00F61173"/>
    <w:rsid w:val="00F6223B"/>
    <w:rsid w:val="00F6415A"/>
    <w:rsid w:val="00F72273"/>
    <w:rsid w:val="00F72E3B"/>
    <w:rsid w:val="00F757BA"/>
    <w:rsid w:val="00F75B47"/>
    <w:rsid w:val="00F7640E"/>
    <w:rsid w:val="00F82B33"/>
    <w:rsid w:val="00F83615"/>
    <w:rsid w:val="00F8366C"/>
    <w:rsid w:val="00F85EFF"/>
    <w:rsid w:val="00F86273"/>
    <w:rsid w:val="00F87E63"/>
    <w:rsid w:val="00F9280D"/>
    <w:rsid w:val="00F937E1"/>
    <w:rsid w:val="00F97927"/>
    <w:rsid w:val="00FB2FAF"/>
    <w:rsid w:val="00FB4FEB"/>
    <w:rsid w:val="00FB54D9"/>
    <w:rsid w:val="00FB5717"/>
    <w:rsid w:val="00FB6320"/>
    <w:rsid w:val="00FB7ADD"/>
    <w:rsid w:val="00FC6D7C"/>
    <w:rsid w:val="00FC76FF"/>
    <w:rsid w:val="00FC7855"/>
    <w:rsid w:val="00FD1B13"/>
    <w:rsid w:val="00FD208C"/>
    <w:rsid w:val="00FD295F"/>
    <w:rsid w:val="00FD35F4"/>
    <w:rsid w:val="00FD53B1"/>
    <w:rsid w:val="00FD5FF6"/>
    <w:rsid w:val="00FD7308"/>
    <w:rsid w:val="00FE002D"/>
    <w:rsid w:val="00FE155A"/>
    <w:rsid w:val="00FE15F0"/>
    <w:rsid w:val="00FE22DE"/>
    <w:rsid w:val="00FE2650"/>
    <w:rsid w:val="00FE33BE"/>
    <w:rsid w:val="00FF24CC"/>
    <w:rsid w:val="00FF7ADC"/>
    <w:rsid w:val="0A1E7710"/>
    <w:rsid w:val="2E7BA723"/>
    <w:rsid w:val="33B82312"/>
    <w:rsid w:val="5E564042"/>
    <w:rsid w:val="675E194F"/>
    <w:rsid w:val="724A4EFB"/>
    <w:rsid w:val="78A386B3"/>
    <w:rsid w:val="7A8E9B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E68E6"/>
  <w15:chartTrackingRefBased/>
  <w15:docId w15:val="{A1952B68-F718-441A-8051-3477E47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6B2"/>
    <w:pPr>
      <w:spacing w:after="0" w:line="240" w:lineRule="auto"/>
    </w:pPr>
    <w:rPr>
      <w:rFonts w:ascii="Arial" w:eastAsia="Times"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426B2"/>
    <w:pPr>
      <w:ind w:left="720"/>
      <w:jc w:val="both"/>
    </w:pPr>
    <w:rPr>
      <w:rFonts w:eastAsia="Times New Roman"/>
      <w:sz w:val="22"/>
      <w:szCs w:val="22"/>
      <w:lang w:eastAsia="en-GB"/>
    </w:rPr>
  </w:style>
  <w:style w:type="character" w:customStyle="1" w:styleId="jpfdse">
    <w:name w:val="jpfdse"/>
    <w:basedOn w:val="DefaultParagraphFont"/>
    <w:rsid w:val="00A76840"/>
  </w:style>
  <w:style w:type="paragraph" w:styleId="BodyText">
    <w:name w:val="Body Text"/>
    <w:basedOn w:val="Normal"/>
    <w:link w:val="BodyTextChar"/>
    <w:uiPriority w:val="1"/>
    <w:qFormat/>
    <w:rsid w:val="00D750DC"/>
    <w:pPr>
      <w:autoSpaceDE w:val="0"/>
      <w:autoSpaceDN w:val="0"/>
      <w:adjustRightInd w:val="0"/>
    </w:pPr>
    <w:rPr>
      <w:rFonts w:eastAsiaTheme="minorHAnsi" w:cs="Arial"/>
      <w:szCs w:val="24"/>
    </w:rPr>
  </w:style>
  <w:style w:type="character" w:customStyle="1" w:styleId="BodyTextChar">
    <w:name w:val="Body Text Char"/>
    <w:basedOn w:val="DefaultParagraphFont"/>
    <w:link w:val="BodyText"/>
    <w:uiPriority w:val="1"/>
    <w:rsid w:val="00D750DC"/>
    <w:rPr>
      <w:rFonts w:ascii="Arial" w:hAnsi="Arial" w:cs="Arial"/>
      <w:sz w:val="24"/>
      <w:szCs w:val="24"/>
    </w:rPr>
  </w:style>
  <w:style w:type="paragraph" w:styleId="Title">
    <w:name w:val="Title"/>
    <w:basedOn w:val="Normal"/>
    <w:next w:val="Normal"/>
    <w:link w:val="TitleChar"/>
    <w:uiPriority w:val="1"/>
    <w:qFormat/>
    <w:rsid w:val="00D750DC"/>
    <w:pPr>
      <w:autoSpaceDE w:val="0"/>
      <w:autoSpaceDN w:val="0"/>
      <w:adjustRightInd w:val="0"/>
      <w:spacing w:line="268" w:lineRule="exact"/>
      <w:ind w:left="40"/>
    </w:pPr>
    <w:rPr>
      <w:rFonts w:eastAsiaTheme="minorHAnsi" w:cs="Arial"/>
      <w:b/>
      <w:bCs/>
      <w:szCs w:val="24"/>
    </w:rPr>
  </w:style>
  <w:style w:type="character" w:customStyle="1" w:styleId="TitleChar">
    <w:name w:val="Title Char"/>
    <w:basedOn w:val="DefaultParagraphFont"/>
    <w:link w:val="Title"/>
    <w:uiPriority w:val="1"/>
    <w:rsid w:val="00D750DC"/>
    <w:rPr>
      <w:rFonts w:ascii="Arial" w:hAnsi="Arial" w:cs="Arial"/>
      <w:b/>
      <w:bCs/>
      <w:sz w:val="24"/>
      <w:szCs w:val="24"/>
    </w:rPr>
  </w:style>
  <w:style w:type="character" w:styleId="CommentReference">
    <w:name w:val="annotation reference"/>
    <w:basedOn w:val="DefaultParagraphFont"/>
    <w:uiPriority w:val="99"/>
    <w:semiHidden/>
    <w:unhideWhenUsed/>
    <w:rsid w:val="001F6E75"/>
    <w:rPr>
      <w:sz w:val="16"/>
      <w:szCs w:val="16"/>
    </w:rPr>
  </w:style>
  <w:style w:type="paragraph" w:styleId="CommentText">
    <w:name w:val="annotation text"/>
    <w:basedOn w:val="Normal"/>
    <w:link w:val="CommentTextChar"/>
    <w:uiPriority w:val="99"/>
    <w:unhideWhenUsed/>
    <w:rsid w:val="001F6E75"/>
    <w:rPr>
      <w:sz w:val="20"/>
    </w:rPr>
  </w:style>
  <w:style w:type="character" w:customStyle="1" w:styleId="CommentTextChar">
    <w:name w:val="Comment Text Char"/>
    <w:basedOn w:val="DefaultParagraphFont"/>
    <w:link w:val="CommentText"/>
    <w:uiPriority w:val="99"/>
    <w:rsid w:val="001F6E75"/>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1F6E75"/>
    <w:rPr>
      <w:b/>
      <w:bCs/>
    </w:rPr>
  </w:style>
  <w:style w:type="character" w:customStyle="1" w:styleId="CommentSubjectChar">
    <w:name w:val="Comment Subject Char"/>
    <w:basedOn w:val="CommentTextChar"/>
    <w:link w:val="CommentSubject"/>
    <w:uiPriority w:val="99"/>
    <w:semiHidden/>
    <w:rsid w:val="001F6E75"/>
    <w:rPr>
      <w:rFonts w:ascii="Arial" w:eastAsia="Times" w:hAnsi="Arial" w:cs="Times New Roman"/>
      <w:b/>
      <w:bCs/>
      <w:sz w:val="20"/>
      <w:szCs w:val="20"/>
    </w:rPr>
  </w:style>
  <w:style w:type="paragraph" w:styleId="Header">
    <w:name w:val="header"/>
    <w:basedOn w:val="Normal"/>
    <w:link w:val="HeaderChar"/>
    <w:uiPriority w:val="99"/>
    <w:unhideWhenUsed/>
    <w:rsid w:val="00730AC9"/>
    <w:pPr>
      <w:tabs>
        <w:tab w:val="center" w:pos="4513"/>
        <w:tab w:val="right" w:pos="9026"/>
      </w:tabs>
    </w:pPr>
  </w:style>
  <w:style w:type="character" w:customStyle="1" w:styleId="HeaderChar">
    <w:name w:val="Header Char"/>
    <w:basedOn w:val="DefaultParagraphFont"/>
    <w:link w:val="Header"/>
    <w:uiPriority w:val="99"/>
    <w:rsid w:val="00730AC9"/>
    <w:rPr>
      <w:rFonts w:ascii="Arial" w:eastAsia="Times" w:hAnsi="Arial" w:cs="Times New Roman"/>
      <w:sz w:val="24"/>
      <w:szCs w:val="20"/>
    </w:rPr>
  </w:style>
  <w:style w:type="paragraph" w:styleId="Footer">
    <w:name w:val="footer"/>
    <w:basedOn w:val="Normal"/>
    <w:link w:val="FooterChar"/>
    <w:uiPriority w:val="99"/>
    <w:unhideWhenUsed/>
    <w:rsid w:val="00730AC9"/>
    <w:pPr>
      <w:tabs>
        <w:tab w:val="center" w:pos="4513"/>
        <w:tab w:val="right" w:pos="9026"/>
      </w:tabs>
    </w:pPr>
  </w:style>
  <w:style w:type="character" w:customStyle="1" w:styleId="FooterChar">
    <w:name w:val="Footer Char"/>
    <w:basedOn w:val="DefaultParagraphFont"/>
    <w:link w:val="Footer"/>
    <w:uiPriority w:val="99"/>
    <w:rsid w:val="00730AC9"/>
    <w:rPr>
      <w:rFonts w:ascii="Arial" w:eastAsia="Times" w:hAnsi="Arial" w:cs="Times New Roman"/>
      <w:sz w:val="24"/>
      <w:szCs w:val="20"/>
    </w:rPr>
  </w:style>
  <w:style w:type="paragraph" w:styleId="NormalWeb">
    <w:name w:val="Normal (Web)"/>
    <w:basedOn w:val="Normal"/>
    <w:uiPriority w:val="99"/>
    <w:unhideWhenUsed/>
    <w:rsid w:val="00D21ABE"/>
    <w:pPr>
      <w:spacing w:before="100" w:beforeAutospacing="1" w:after="100" w:afterAutospacing="1"/>
    </w:pPr>
    <w:rPr>
      <w:rFonts w:ascii="Times New Roman" w:eastAsia="Times New Roman" w:hAnsi="Times New Roman"/>
      <w:szCs w:val="24"/>
      <w:lang w:eastAsia="en-GB"/>
    </w:rPr>
  </w:style>
  <w:style w:type="character" w:styleId="Strong">
    <w:name w:val="Strong"/>
    <w:basedOn w:val="DefaultParagraphFont"/>
    <w:uiPriority w:val="22"/>
    <w:qFormat/>
    <w:rsid w:val="00D21ABE"/>
    <w:rPr>
      <w:b/>
      <w:bCs/>
    </w:rPr>
  </w:style>
  <w:style w:type="character" w:customStyle="1" w:styleId="cf01">
    <w:name w:val="cf01"/>
    <w:basedOn w:val="DefaultParagraphFont"/>
    <w:rsid w:val="005276DC"/>
    <w:rPr>
      <w:rFonts w:ascii="Segoe UI" w:hAnsi="Segoe UI" w:cs="Segoe UI" w:hint="default"/>
      <w:sz w:val="18"/>
      <w:szCs w:val="18"/>
    </w:rPr>
  </w:style>
  <w:style w:type="character" w:customStyle="1" w:styleId="cf11">
    <w:name w:val="cf11"/>
    <w:basedOn w:val="DefaultParagraphFont"/>
    <w:rsid w:val="005276DC"/>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6286">
      <w:bodyDiv w:val="1"/>
      <w:marLeft w:val="0"/>
      <w:marRight w:val="0"/>
      <w:marTop w:val="0"/>
      <w:marBottom w:val="0"/>
      <w:divBdr>
        <w:top w:val="none" w:sz="0" w:space="0" w:color="auto"/>
        <w:left w:val="none" w:sz="0" w:space="0" w:color="auto"/>
        <w:bottom w:val="none" w:sz="0" w:space="0" w:color="auto"/>
        <w:right w:val="none" w:sz="0" w:space="0" w:color="auto"/>
      </w:divBdr>
    </w:div>
    <w:div w:id="915742234">
      <w:bodyDiv w:val="1"/>
      <w:marLeft w:val="0"/>
      <w:marRight w:val="0"/>
      <w:marTop w:val="0"/>
      <w:marBottom w:val="0"/>
      <w:divBdr>
        <w:top w:val="none" w:sz="0" w:space="0" w:color="auto"/>
        <w:left w:val="none" w:sz="0" w:space="0" w:color="auto"/>
        <w:bottom w:val="none" w:sz="0" w:space="0" w:color="auto"/>
        <w:right w:val="none" w:sz="0" w:space="0" w:color="auto"/>
      </w:divBdr>
    </w:div>
    <w:div w:id="1245843015">
      <w:bodyDiv w:val="1"/>
      <w:marLeft w:val="0"/>
      <w:marRight w:val="0"/>
      <w:marTop w:val="0"/>
      <w:marBottom w:val="0"/>
      <w:divBdr>
        <w:top w:val="none" w:sz="0" w:space="0" w:color="auto"/>
        <w:left w:val="none" w:sz="0" w:space="0" w:color="auto"/>
        <w:bottom w:val="none" w:sz="0" w:space="0" w:color="auto"/>
        <w:right w:val="none" w:sz="0" w:space="0" w:color="auto"/>
      </w:divBdr>
    </w:div>
    <w:div w:id="1554197771">
      <w:bodyDiv w:val="1"/>
      <w:marLeft w:val="0"/>
      <w:marRight w:val="0"/>
      <w:marTop w:val="0"/>
      <w:marBottom w:val="0"/>
      <w:divBdr>
        <w:top w:val="none" w:sz="0" w:space="0" w:color="auto"/>
        <w:left w:val="none" w:sz="0" w:space="0" w:color="auto"/>
        <w:bottom w:val="none" w:sz="0" w:space="0" w:color="auto"/>
        <w:right w:val="none" w:sz="0" w:space="0" w:color="auto"/>
      </w:divBdr>
    </w:div>
    <w:div w:id="20848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rrow.gov.uk/licens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45AAA48613AA41AC4D0F516632A235" ma:contentTypeVersion="12" ma:contentTypeDescription="Create a new document." ma:contentTypeScope="" ma:versionID="1b5731c810ee21e8be2238dd1c807c3d">
  <xsd:schema xmlns:xsd="http://www.w3.org/2001/XMLSchema" xmlns:xs="http://www.w3.org/2001/XMLSchema" xmlns:p="http://schemas.microsoft.com/office/2006/metadata/properties" xmlns:ns2="f6f0be00-3e20-4953-abda-a7d0b46af708" xmlns:ns3="f3bd219c-dfb2-4543-afdc-560efc24a084" targetNamespace="http://schemas.microsoft.com/office/2006/metadata/properties" ma:root="true" ma:fieldsID="7bd94771b9a8ffe87c3fd1430fcc9055" ns2:_="" ns3:_="">
    <xsd:import namespace="f6f0be00-3e20-4953-abda-a7d0b46af708"/>
    <xsd:import namespace="f3bd219c-dfb2-4543-afdc-560efc24a0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0be00-3e20-4953-abda-a7d0b46af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d219c-dfb2-4543-afdc-560efc24a0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5F9B1-2D88-4C7C-9A19-BEE0AA0032B3}">
  <ds:schemaRefs>
    <ds:schemaRef ds:uri="http://schemas.openxmlformats.org/officeDocument/2006/bibliography"/>
  </ds:schemaRefs>
</ds:datastoreItem>
</file>

<file path=customXml/itemProps2.xml><?xml version="1.0" encoding="utf-8"?>
<ds:datastoreItem xmlns:ds="http://schemas.openxmlformats.org/officeDocument/2006/customXml" ds:itemID="{F5D22DE0-714A-4118-811E-E85384A331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EC36C5-95F1-43F4-8FC9-C0728A252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0be00-3e20-4953-abda-a7d0b46af708"/>
    <ds:schemaRef ds:uri="f3bd219c-dfb2-4543-afdc-560efc24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803BD-C5C2-43D4-A112-FA8CEC00D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Links>
    <vt:vector size="6" baseType="variant">
      <vt:variant>
        <vt:i4>3473518</vt:i4>
      </vt:variant>
      <vt:variant>
        <vt:i4>0</vt:i4>
      </vt:variant>
      <vt:variant>
        <vt:i4>0</vt:i4>
      </vt:variant>
      <vt:variant>
        <vt:i4>5</vt:i4>
      </vt:variant>
      <vt:variant>
        <vt:lpwstr>http://www.harrow.gov.uk/licensing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Gilmour</dc:creator>
  <cp:keywords/>
  <dc:description/>
  <cp:lastModifiedBy>Vishal Seegoolam</cp:lastModifiedBy>
  <cp:revision>3</cp:revision>
  <cp:lastPrinted>2023-02-09T15:46:00Z</cp:lastPrinted>
  <dcterms:created xsi:type="dcterms:W3CDTF">2023-08-24T10:28:00Z</dcterms:created>
  <dcterms:modified xsi:type="dcterms:W3CDTF">2023-09-04T12:50:00Z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0x010100BD45AAA48613AA41AC4D0F516632A235</vt:lpwstr>
  </property>
</Properties>
</file>